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4DC6B" w14:textId="77777777" w:rsidR="00FF735E" w:rsidRDefault="00000000">
      <w:pPr>
        <w:rPr>
          <w:b/>
        </w:rPr>
      </w:pPr>
      <w:r>
        <w:rPr>
          <w:noProof/>
        </w:rPr>
        <w:drawing>
          <wp:anchor distT="0" distB="0" distL="0" distR="0" simplePos="0" relativeHeight="251658240" behindDoc="1" locked="0" layoutInCell="1" hidden="0" allowOverlap="1" wp14:anchorId="29E97BAF" wp14:editId="7D3ABC6A">
            <wp:simplePos x="0" y="0"/>
            <wp:positionH relativeFrom="column">
              <wp:posOffset>0</wp:posOffset>
            </wp:positionH>
            <wp:positionV relativeFrom="paragraph">
              <wp:posOffset>0</wp:posOffset>
            </wp:positionV>
            <wp:extent cx="1442085" cy="923925"/>
            <wp:effectExtent l="0" t="0" r="0" b="0"/>
            <wp:wrapNone/>
            <wp:docPr id="7" name="image1.png" descr="https://mlnkyheaxdkt.i.optimole.com/w:1024/h:656/q:mauto/https:/trenteducation.co.uk/wp-content/uploads/2021/08/Trent-education-centre-logo-2-02.png"/>
            <wp:cNvGraphicFramePr/>
            <a:graphic xmlns:a="http://schemas.openxmlformats.org/drawingml/2006/main">
              <a:graphicData uri="http://schemas.openxmlformats.org/drawingml/2006/picture">
                <pic:pic xmlns:pic="http://schemas.openxmlformats.org/drawingml/2006/picture">
                  <pic:nvPicPr>
                    <pic:cNvPr id="0" name="image1.png" descr="https://mlnkyheaxdkt.i.optimole.com/w:1024/h:656/q:mauto/https:/trenteducation.co.uk/wp-content/uploads/2021/08/Trent-education-centre-logo-2-02.png"/>
                    <pic:cNvPicPr preferRelativeResize="0"/>
                  </pic:nvPicPr>
                  <pic:blipFill>
                    <a:blip r:embed="rId8"/>
                    <a:srcRect/>
                    <a:stretch>
                      <a:fillRect/>
                    </a:stretch>
                  </pic:blipFill>
                  <pic:spPr>
                    <a:xfrm>
                      <a:off x="0" y="0"/>
                      <a:ext cx="1442085" cy="923925"/>
                    </a:xfrm>
                    <a:prstGeom prst="rect">
                      <a:avLst/>
                    </a:prstGeom>
                    <a:ln/>
                  </pic:spPr>
                </pic:pic>
              </a:graphicData>
            </a:graphic>
          </wp:anchor>
        </w:drawing>
      </w:r>
    </w:p>
    <w:p w14:paraId="2278E929" w14:textId="77777777" w:rsidR="00FF735E" w:rsidRDefault="00FF735E">
      <w:pPr>
        <w:rPr>
          <w:b/>
        </w:rPr>
      </w:pPr>
    </w:p>
    <w:p w14:paraId="1395A024" w14:textId="77777777" w:rsidR="00FF735E" w:rsidRDefault="00FF735E">
      <w:pPr>
        <w:rPr>
          <w:b/>
        </w:rPr>
      </w:pPr>
    </w:p>
    <w:p w14:paraId="6E2D3B2D" w14:textId="77777777" w:rsidR="00FF735E" w:rsidRDefault="00FF735E">
      <w:pPr>
        <w:rPr>
          <w:b/>
        </w:rPr>
      </w:pPr>
    </w:p>
    <w:p w14:paraId="58440CBB" w14:textId="77777777" w:rsidR="00FF735E" w:rsidRDefault="00FF735E">
      <w:pPr>
        <w:rPr>
          <w:b/>
        </w:rPr>
      </w:pPr>
    </w:p>
    <w:p w14:paraId="45A9449D" w14:textId="77777777" w:rsidR="00FF735E" w:rsidRDefault="00FF735E">
      <w:pPr>
        <w:rPr>
          <w:b/>
        </w:rPr>
      </w:pPr>
    </w:p>
    <w:p w14:paraId="09BA1D58" w14:textId="77777777" w:rsidR="00FF735E" w:rsidRDefault="00FF735E">
      <w:pPr>
        <w:rPr>
          <w:b/>
          <w:sz w:val="32"/>
          <w:szCs w:val="32"/>
        </w:rPr>
      </w:pPr>
    </w:p>
    <w:p w14:paraId="4404786F" w14:textId="77777777" w:rsidR="00FF735E" w:rsidRDefault="00FF735E">
      <w:pPr>
        <w:rPr>
          <w:b/>
          <w:sz w:val="44"/>
          <w:szCs w:val="44"/>
        </w:rPr>
      </w:pPr>
    </w:p>
    <w:p w14:paraId="7A8D0E64" w14:textId="77777777" w:rsidR="00FF735E" w:rsidRDefault="00000000">
      <w:pPr>
        <w:rPr>
          <w:b/>
          <w:sz w:val="44"/>
          <w:szCs w:val="44"/>
        </w:rPr>
      </w:pPr>
      <w:r>
        <w:rPr>
          <w:b/>
          <w:sz w:val="44"/>
          <w:szCs w:val="44"/>
        </w:rPr>
        <w:t>Assessment Policy</w:t>
      </w:r>
    </w:p>
    <w:p w14:paraId="106E0AE4" w14:textId="77777777" w:rsidR="00FF735E" w:rsidRDefault="00FF735E">
      <w:pPr>
        <w:rPr>
          <w:b/>
          <w:sz w:val="44"/>
          <w:szCs w:val="44"/>
        </w:rPr>
      </w:pPr>
    </w:p>
    <w:p w14:paraId="68A48A58" w14:textId="77777777" w:rsidR="00FF735E" w:rsidRDefault="00FF735E"/>
    <w:tbl>
      <w:tblPr>
        <w:tblStyle w:val="a5"/>
        <w:tblW w:w="9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343"/>
      </w:tblGrid>
      <w:tr w:rsidR="00FF735E" w14:paraId="07DCA84C" w14:textId="77777777">
        <w:tc>
          <w:tcPr>
            <w:tcW w:w="2689" w:type="dxa"/>
            <w:shd w:val="clear" w:color="auto" w:fill="E2EFD9"/>
            <w:vAlign w:val="center"/>
          </w:tcPr>
          <w:p w14:paraId="0B5C30AF" w14:textId="77777777" w:rsidR="00FF735E" w:rsidRDefault="00000000">
            <w:r>
              <w:rPr>
                <w:b/>
              </w:rPr>
              <w:t xml:space="preserve">Policy no: </w:t>
            </w:r>
          </w:p>
        </w:tc>
        <w:tc>
          <w:tcPr>
            <w:tcW w:w="6343" w:type="dxa"/>
          </w:tcPr>
          <w:p w14:paraId="6AC44D76" w14:textId="77777777" w:rsidR="00FF735E" w:rsidRDefault="00000000">
            <w:pPr>
              <w:rPr>
                <w:b/>
              </w:rPr>
            </w:pPr>
            <w:r>
              <w:rPr>
                <w:b/>
              </w:rPr>
              <w:t>2.5</w:t>
            </w:r>
          </w:p>
        </w:tc>
      </w:tr>
      <w:tr w:rsidR="00FF735E" w14:paraId="4985848F" w14:textId="77777777">
        <w:tc>
          <w:tcPr>
            <w:tcW w:w="2689" w:type="dxa"/>
            <w:shd w:val="clear" w:color="auto" w:fill="E2EFD9"/>
            <w:vAlign w:val="center"/>
          </w:tcPr>
          <w:p w14:paraId="37312BD3" w14:textId="77777777" w:rsidR="00FF735E" w:rsidRDefault="00000000">
            <w:r>
              <w:rPr>
                <w:b/>
              </w:rPr>
              <w:t>Version date</w:t>
            </w:r>
          </w:p>
        </w:tc>
        <w:tc>
          <w:tcPr>
            <w:tcW w:w="6343" w:type="dxa"/>
          </w:tcPr>
          <w:p w14:paraId="746B0AAD" w14:textId="796C68DB" w:rsidR="00FF735E" w:rsidRDefault="003A0F72">
            <w:pPr>
              <w:rPr>
                <w:b/>
              </w:rPr>
            </w:pPr>
            <w:r>
              <w:t>18-06-25</w:t>
            </w:r>
          </w:p>
        </w:tc>
      </w:tr>
      <w:tr w:rsidR="00FF735E" w14:paraId="41CCBC5C" w14:textId="77777777">
        <w:trPr>
          <w:trHeight w:val="397"/>
        </w:trPr>
        <w:tc>
          <w:tcPr>
            <w:tcW w:w="2689" w:type="dxa"/>
            <w:shd w:val="clear" w:color="auto" w:fill="E2EFD9"/>
            <w:vAlign w:val="center"/>
          </w:tcPr>
          <w:p w14:paraId="223B4994" w14:textId="77777777" w:rsidR="00FF735E" w:rsidRDefault="00000000">
            <w:r>
              <w:rPr>
                <w:b/>
              </w:rPr>
              <w:t>Approved by</w:t>
            </w:r>
          </w:p>
        </w:tc>
        <w:tc>
          <w:tcPr>
            <w:tcW w:w="6343" w:type="dxa"/>
            <w:vAlign w:val="center"/>
          </w:tcPr>
          <w:p w14:paraId="57826E42" w14:textId="77777777" w:rsidR="00FF735E" w:rsidRDefault="00000000">
            <w:pPr>
              <w:ind w:right="139"/>
            </w:pPr>
            <w:r>
              <w:t>Academic Board</w:t>
            </w:r>
          </w:p>
        </w:tc>
      </w:tr>
      <w:tr w:rsidR="00FF735E" w14:paraId="04E6BDCD" w14:textId="77777777">
        <w:tc>
          <w:tcPr>
            <w:tcW w:w="2689" w:type="dxa"/>
            <w:shd w:val="clear" w:color="auto" w:fill="E2EFD9"/>
            <w:vAlign w:val="center"/>
          </w:tcPr>
          <w:p w14:paraId="6662DBDA" w14:textId="77777777" w:rsidR="00FF735E" w:rsidRDefault="00000000">
            <w:r>
              <w:rPr>
                <w:b/>
              </w:rPr>
              <w:t>Policy Group</w:t>
            </w:r>
          </w:p>
        </w:tc>
        <w:tc>
          <w:tcPr>
            <w:tcW w:w="6343" w:type="dxa"/>
          </w:tcPr>
          <w:p w14:paraId="79993081" w14:textId="77777777" w:rsidR="00FF735E" w:rsidRDefault="00000000">
            <w:pPr>
              <w:rPr>
                <w:b/>
              </w:rPr>
            </w:pPr>
            <w:r>
              <w:t>Academic Management</w:t>
            </w:r>
          </w:p>
        </w:tc>
      </w:tr>
      <w:tr w:rsidR="00FF735E" w14:paraId="31BCF944" w14:textId="77777777">
        <w:tc>
          <w:tcPr>
            <w:tcW w:w="2689" w:type="dxa"/>
            <w:shd w:val="clear" w:color="auto" w:fill="E2EFD9"/>
          </w:tcPr>
          <w:p w14:paraId="230C1B65" w14:textId="77777777" w:rsidR="00FF735E" w:rsidRDefault="00000000">
            <w:r>
              <w:rPr>
                <w:b/>
              </w:rPr>
              <w:t>Version number</w:t>
            </w:r>
          </w:p>
        </w:tc>
        <w:tc>
          <w:tcPr>
            <w:tcW w:w="6343" w:type="dxa"/>
            <w:vAlign w:val="center"/>
          </w:tcPr>
          <w:p w14:paraId="2283B4D4" w14:textId="5261DF9F" w:rsidR="00FF735E" w:rsidRDefault="00000000">
            <w:pPr>
              <w:rPr>
                <w:b/>
              </w:rPr>
            </w:pPr>
            <w:r>
              <w:t>V</w:t>
            </w:r>
            <w:r w:rsidR="003A0F72">
              <w:t>2</w:t>
            </w:r>
          </w:p>
        </w:tc>
      </w:tr>
      <w:tr w:rsidR="00FF735E" w14:paraId="717247EC" w14:textId="77777777">
        <w:tc>
          <w:tcPr>
            <w:tcW w:w="2689" w:type="dxa"/>
            <w:shd w:val="clear" w:color="auto" w:fill="E2EFD9"/>
          </w:tcPr>
          <w:p w14:paraId="39B36DC9" w14:textId="77777777" w:rsidR="00FF735E" w:rsidRDefault="00000000">
            <w:r>
              <w:rPr>
                <w:b/>
              </w:rPr>
              <w:t>Next review due</w:t>
            </w:r>
          </w:p>
        </w:tc>
        <w:tc>
          <w:tcPr>
            <w:tcW w:w="6343" w:type="dxa"/>
          </w:tcPr>
          <w:p w14:paraId="338787D2" w14:textId="59B839E5" w:rsidR="00FF735E" w:rsidRDefault="00000000">
            <w:pPr>
              <w:rPr>
                <w:b/>
              </w:rPr>
            </w:pPr>
            <w:r>
              <w:t>June 202</w:t>
            </w:r>
            <w:r w:rsidR="003A0F72">
              <w:t>6</w:t>
            </w:r>
          </w:p>
        </w:tc>
      </w:tr>
      <w:tr w:rsidR="00FF735E" w14:paraId="0F040BBC" w14:textId="77777777">
        <w:tc>
          <w:tcPr>
            <w:tcW w:w="2689" w:type="dxa"/>
            <w:shd w:val="clear" w:color="auto" w:fill="E2EFD9"/>
            <w:vAlign w:val="center"/>
          </w:tcPr>
          <w:p w14:paraId="483E1142" w14:textId="77777777" w:rsidR="00FF735E" w:rsidRDefault="00000000">
            <w:r>
              <w:rPr>
                <w:b/>
              </w:rPr>
              <w:t>External reference points</w:t>
            </w:r>
          </w:p>
        </w:tc>
        <w:tc>
          <w:tcPr>
            <w:tcW w:w="6343" w:type="dxa"/>
          </w:tcPr>
          <w:p w14:paraId="1028F9CE" w14:textId="77777777" w:rsidR="00FF735E" w:rsidRDefault="00000000">
            <w:pPr>
              <w:ind w:right="280"/>
            </w:pPr>
            <w:r>
              <w:t>College partner Awarding Bodies and Organisations</w:t>
            </w:r>
          </w:p>
        </w:tc>
      </w:tr>
    </w:tbl>
    <w:p w14:paraId="2942F21B" w14:textId="77777777" w:rsidR="00FF735E" w:rsidRDefault="00FF735E"/>
    <w:p w14:paraId="084EC23D" w14:textId="77777777" w:rsidR="00FF735E" w:rsidRDefault="00FF735E"/>
    <w:tbl>
      <w:tblPr>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59"/>
        <w:gridCol w:w="1134"/>
        <w:gridCol w:w="1134"/>
        <w:gridCol w:w="5253"/>
      </w:tblGrid>
      <w:tr w:rsidR="003A0F72" w:rsidRPr="00092BDC" w14:paraId="01D73490" w14:textId="77777777" w:rsidTr="00834274">
        <w:trPr>
          <w:trHeight w:val="283"/>
        </w:trPr>
        <w:tc>
          <w:tcPr>
            <w:tcW w:w="9080" w:type="dxa"/>
            <w:gridSpan w:val="4"/>
            <w:tcBorders>
              <w:top w:val="single" w:sz="8" w:space="0" w:color="000000"/>
              <w:left w:val="single" w:sz="8" w:space="0" w:color="000000"/>
              <w:bottom w:val="single" w:sz="8" w:space="0" w:color="000000"/>
              <w:right w:val="single" w:sz="8" w:space="0" w:color="000000"/>
            </w:tcBorders>
            <w:shd w:val="clear" w:color="auto" w:fill="E2F3DB"/>
            <w:hideMark/>
          </w:tcPr>
          <w:p w14:paraId="40FB401B" w14:textId="77777777" w:rsidR="003A0F72" w:rsidRPr="00092BDC" w:rsidRDefault="003A0F72" w:rsidP="00834274">
            <w:pPr>
              <w:pStyle w:val="TableParagraph"/>
              <w:spacing w:line="276" w:lineRule="auto"/>
              <w:ind w:left="124"/>
              <w:rPr>
                <w:rFonts w:eastAsia="Arial"/>
                <w:b/>
                <w:spacing w:val="-2"/>
              </w:rPr>
            </w:pPr>
            <w:r w:rsidRPr="00092BDC">
              <w:rPr>
                <w:b/>
                <w:spacing w:val="-2"/>
              </w:rPr>
              <w:t>Version Control</w:t>
            </w:r>
          </w:p>
        </w:tc>
      </w:tr>
      <w:tr w:rsidR="003A0F72" w:rsidRPr="00092BDC" w14:paraId="1A463001" w14:textId="77777777" w:rsidTr="00834274">
        <w:trPr>
          <w:trHeight w:val="680"/>
        </w:trPr>
        <w:tc>
          <w:tcPr>
            <w:tcW w:w="1559" w:type="dxa"/>
            <w:tcBorders>
              <w:top w:val="single" w:sz="8" w:space="0" w:color="000000"/>
              <w:left w:val="single" w:sz="8" w:space="0" w:color="000000"/>
              <w:bottom w:val="single" w:sz="8" w:space="0" w:color="000000"/>
              <w:right w:val="single" w:sz="8" w:space="0" w:color="000000"/>
            </w:tcBorders>
            <w:shd w:val="clear" w:color="auto" w:fill="E2F3DB"/>
            <w:hideMark/>
          </w:tcPr>
          <w:p w14:paraId="3808293E" w14:textId="77777777" w:rsidR="003A0F72" w:rsidRPr="00092BDC" w:rsidRDefault="003A0F72" w:rsidP="00834274">
            <w:pPr>
              <w:pStyle w:val="TableParagraph"/>
              <w:spacing w:line="276" w:lineRule="auto"/>
              <w:rPr>
                <w:b/>
              </w:rPr>
            </w:pPr>
            <w:r w:rsidRPr="00092BDC">
              <w:rPr>
                <w:b/>
                <w:spacing w:val="-2"/>
              </w:rPr>
              <w:t>Previous</w:t>
            </w:r>
          </w:p>
          <w:p w14:paraId="2C22FA75" w14:textId="77777777" w:rsidR="003A0F72" w:rsidRPr="00092BDC" w:rsidRDefault="003A0F72" w:rsidP="00834274">
            <w:pPr>
              <w:pStyle w:val="TableParagraph"/>
              <w:spacing w:line="276" w:lineRule="auto"/>
              <w:rPr>
                <w:b/>
              </w:rPr>
            </w:pPr>
            <w:r w:rsidRPr="00092BDC">
              <w:rPr>
                <w:b/>
                <w:spacing w:val="-2"/>
              </w:rPr>
              <w:t>Version</w:t>
            </w:r>
          </w:p>
        </w:tc>
        <w:tc>
          <w:tcPr>
            <w:tcW w:w="1134" w:type="dxa"/>
            <w:tcBorders>
              <w:top w:val="single" w:sz="8" w:space="0" w:color="000000"/>
              <w:left w:val="single" w:sz="8" w:space="0" w:color="000000"/>
              <w:bottom w:val="single" w:sz="8" w:space="0" w:color="000000"/>
              <w:right w:val="single" w:sz="8" w:space="0" w:color="000000"/>
            </w:tcBorders>
            <w:shd w:val="clear" w:color="auto" w:fill="E2F3DB"/>
            <w:hideMark/>
          </w:tcPr>
          <w:p w14:paraId="54EF1732" w14:textId="77777777" w:rsidR="003A0F72" w:rsidRPr="00092BDC" w:rsidRDefault="003A0F72" w:rsidP="00834274">
            <w:pPr>
              <w:pStyle w:val="TableParagraph"/>
              <w:spacing w:line="276" w:lineRule="auto"/>
              <w:ind w:left="109"/>
              <w:rPr>
                <w:b/>
              </w:rPr>
            </w:pPr>
            <w:r w:rsidRPr="00092BDC">
              <w:rPr>
                <w:b/>
                <w:spacing w:val="-5"/>
              </w:rPr>
              <w:t>New</w:t>
            </w:r>
          </w:p>
          <w:p w14:paraId="7359B7F2" w14:textId="77777777" w:rsidR="003A0F72" w:rsidRPr="00092BDC" w:rsidRDefault="003A0F72" w:rsidP="00834274">
            <w:pPr>
              <w:pStyle w:val="TableParagraph"/>
              <w:spacing w:line="276" w:lineRule="auto"/>
              <w:ind w:left="109"/>
              <w:rPr>
                <w:b/>
              </w:rPr>
            </w:pPr>
            <w:r w:rsidRPr="00092BDC">
              <w:rPr>
                <w:b/>
                <w:spacing w:val="-2"/>
              </w:rPr>
              <w:t>Version</w:t>
            </w:r>
          </w:p>
        </w:tc>
        <w:tc>
          <w:tcPr>
            <w:tcW w:w="1134" w:type="dxa"/>
            <w:tcBorders>
              <w:top w:val="single" w:sz="8" w:space="0" w:color="000000"/>
              <w:left w:val="single" w:sz="8" w:space="0" w:color="000000"/>
              <w:bottom w:val="single" w:sz="8" w:space="0" w:color="000000"/>
              <w:right w:val="single" w:sz="8" w:space="0" w:color="000000"/>
            </w:tcBorders>
            <w:shd w:val="clear" w:color="auto" w:fill="E2F3DB"/>
            <w:hideMark/>
          </w:tcPr>
          <w:p w14:paraId="53F2B680" w14:textId="77777777" w:rsidR="003A0F72" w:rsidRPr="00092BDC" w:rsidRDefault="003A0F72" w:rsidP="00834274">
            <w:pPr>
              <w:pStyle w:val="TableParagraph"/>
              <w:spacing w:line="276" w:lineRule="auto"/>
              <w:rPr>
                <w:b/>
              </w:rPr>
            </w:pPr>
            <w:r w:rsidRPr="00092BDC">
              <w:rPr>
                <w:b/>
                <w:spacing w:val="-4"/>
              </w:rPr>
              <w:t>Date</w:t>
            </w:r>
          </w:p>
        </w:tc>
        <w:tc>
          <w:tcPr>
            <w:tcW w:w="5253" w:type="dxa"/>
            <w:tcBorders>
              <w:top w:val="single" w:sz="8" w:space="0" w:color="000000"/>
              <w:left w:val="single" w:sz="8" w:space="0" w:color="000000"/>
              <w:bottom w:val="single" w:sz="8" w:space="0" w:color="000000"/>
              <w:right w:val="single" w:sz="8" w:space="0" w:color="000000"/>
            </w:tcBorders>
            <w:shd w:val="clear" w:color="auto" w:fill="E2F3DB"/>
            <w:hideMark/>
          </w:tcPr>
          <w:p w14:paraId="21502272" w14:textId="77777777" w:rsidR="003A0F72" w:rsidRPr="00092BDC" w:rsidRDefault="003A0F72" w:rsidP="00834274">
            <w:pPr>
              <w:pStyle w:val="TableParagraph"/>
              <w:spacing w:line="276" w:lineRule="auto"/>
              <w:ind w:left="124"/>
              <w:rPr>
                <w:b/>
              </w:rPr>
            </w:pPr>
            <w:r w:rsidRPr="00092BDC">
              <w:rPr>
                <w:b/>
                <w:spacing w:val="-2"/>
              </w:rPr>
              <w:t>Update/Notes</w:t>
            </w:r>
          </w:p>
        </w:tc>
      </w:tr>
      <w:tr w:rsidR="003A0F72" w:rsidRPr="00092BDC" w14:paraId="6C2CB2A7" w14:textId="77777777" w:rsidTr="00834274">
        <w:trPr>
          <w:trHeight w:val="664"/>
        </w:trPr>
        <w:tc>
          <w:tcPr>
            <w:tcW w:w="1559" w:type="dxa"/>
            <w:tcBorders>
              <w:top w:val="single" w:sz="8" w:space="0" w:color="000000"/>
              <w:left w:val="single" w:sz="8" w:space="0" w:color="000000"/>
              <w:bottom w:val="single" w:sz="8" w:space="0" w:color="000000"/>
              <w:right w:val="single" w:sz="8" w:space="0" w:color="000000"/>
            </w:tcBorders>
            <w:hideMark/>
          </w:tcPr>
          <w:p w14:paraId="11AC5FDF" w14:textId="63B232FC" w:rsidR="003A0F72" w:rsidRPr="00802860" w:rsidRDefault="003A0F72" w:rsidP="00834274">
            <w:pPr>
              <w:pStyle w:val="TableParagraph"/>
              <w:spacing w:before="6" w:line="276" w:lineRule="auto"/>
              <w:rPr>
                <w:bCs/>
                <w:spacing w:val="-5"/>
                <w:szCs w:val="20"/>
              </w:rPr>
            </w:pPr>
            <w:r w:rsidRPr="00802860">
              <w:rPr>
                <w:bCs/>
                <w:spacing w:val="-5"/>
                <w:szCs w:val="20"/>
              </w:rPr>
              <w:t>V</w:t>
            </w:r>
            <w:r>
              <w:rPr>
                <w:bCs/>
                <w:spacing w:val="-5"/>
                <w:szCs w:val="20"/>
              </w:rPr>
              <w:t>01.4</w:t>
            </w:r>
          </w:p>
          <w:p w14:paraId="1CE6A8C2" w14:textId="47FC110A" w:rsidR="003A0F72" w:rsidRPr="00802860" w:rsidRDefault="003A0F72" w:rsidP="00834274">
            <w:pPr>
              <w:pStyle w:val="TableParagraph"/>
              <w:spacing w:before="6" w:line="276" w:lineRule="auto"/>
              <w:rPr>
                <w:bCs/>
                <w:szCs w:val="20"/>
              </w:rPr>
            </w:pPr>
            <w:r w:rsidRPr="00802860">
              <w:rPr>
                <w:bCs/>
                <w:spacing w:val="-5"/>
                <w:szCs w:val="20"/>
              </w:rPr>
              <w:t>(</w:t>
            </w:r>
            <w:r>
              <w:rPr>
                <w:bCs/>
                <w:spacing w:val="-5"/>
                <w:szCs w:val="20"/>
              </w:rPr>
              <w:t>21</w:t>
            </w:r>
            <w:r w:rsidRPr="00802860">
              <w:rPr>
                <w:bCs/>
                <w:spacing w:val="-5"/>
                <w:szCs w:val="20"/>
              </w:rPr>
              <w:t>-</w:t>
            </w:r>
            <w:r>
              <w:rPr>
                <w:bCs/>
                <w:spacing w:val="-5"/>
                <w:szCs w:val="20"/>
              </w:rPr>
              <w:t>06</w:t>
            </w:r>
            <w:r w:rsidRPr="00802860">
              <w:rPr>
                <w:bCs/>
                <w:spacing w:val="-5"/>
                <w:szCs w:val="20"/>
              </w:rPr>
              <w:t>-24)</w:t>
            </w:r>
          </w:p>
        </w:tc>
        <w:tc>
          <w:tcPr>
            <w:tcW w:w="1134" w:type="dxa"/>
            <w:tcBorders>
              <w:top w:val="single" w:sz="8" w:space="0" w:color="000000"/>
              <w:left w:val="single" w:sz="8" w:space="0" w:color="000000"/>
              <w:bottom w:val="single" w:sz="8" w:space="0" w:color="000000"/>
              <w:right w:val="single" w:sz="8" w:space="0" w:color="000000"/>
            </w:tcBorders>
            <w:hideMark/>
          </w:tcPr>
          <w:p w14:paraId="57E4DD89" w14:textId="593225D6" w:rsidR="003A0F72" w:rsidRPr="00802860" w:rsidRDefault="003A0F72" w:rsidP="00834274">
            <w:pPr>
              <w:pStyle w:val="TableParagraph"/>
              <w:spacing w:before="6" w:line="276" w:lineRule="auto"/>
              <w:ind w:left="109"/>
              <w:rPr>
                <w:bCs/>
                <w:szCs w:val="20"/>
              </w:rPr>
            </w:pPr>
            <w:r w:rsidRPr="00802860">
              <w:rPr>
                <w:bCs/>
                <w:spacing w:val="-4"/>
                <w:szCs w:val="20"/>
              </w:rPr>
              <w:t>V</w:t>
            </w:r>
            <w:r>
              <w:rPr>
                <w:bCs/>
                <w:spacing w:val="-4"/>
                <w:szCs w:val="20"/>
              </w:rPr>
              <w:t>2</w:t>
            </w:r>
          </w:p>
        </w:tc>
        <w:tc>
          <w:tcPr>
            <w:tcW w:w="1134" w:type="dxa"/>
            <w:tcBorders>
              <w:top w:val="single" w:sz="8" w:space="0" w:color="000000"/>
              <w:left w:val="single" w:sz="8" w:space="0" w:color="000000"/>
              <w:bottom w:val="single" w:sz="8" w:space="0" w:color="000000"/>
              <w:right w:val="single" w:sz="8" w:space="0" w:color="000000"/>
            </w:tcBorders>
          </w:tcPr>
          <w:p w14:paraId="0213C06B" w14:textId="30D4A7E7" w:rsidR="003A0F72" w:rsidRPr="00802860" w:rsidRDefault="003A0F72" w:rsidP="00834274">
            <w:pPr>
              <w:pStyle w:val="TableParagraph"/>
              <w:spacing w:before="6" w:line="276" w:lineRule="auto"/>
              <w:rPr>
                <w:szCs w:val="20"/>
              </w:rPr>
            </w:pPr>
            <w:r w:rsidRPr="00802860">
              <w:rPr>
                <w:szCs w:val="20"/>
              </w:rPr>
              <w:t>1</w:t>
            </w:r>
            <w:r>
              <w:rPr>
                <w:szCs w:val="20"/>
              </w:rPr>
              <w:t>8</w:t>
            </w:r>
            <w:r w:rsidRPr="00802860">
              <w:rPr>
                <w:szCs w:val="20"/>
              </w:rPr>
              <w:t>-0</w:t>
            </w:r>
            <w:r>
              <w:rPr>
                <w:szCs w:val="20"/>
              </w:rPr>
              <w:t>6</w:t>
            </w:r>
            <w:r w:rsidRPr="00802860">
              <w:rPr>
                <w:szCs w:val="20"/>
              </w:rPr>
              <w:t>-25</w:t>
            </w:r>
          </w:p>
        </w:tc>
        <w:tc>
          <w:tcPr>
            <w:tcW w:w="5253" w:type="dxa"/>
            <w:tcBorders>
              <w:top w:val="single" w:sz="8" w:space="0" w:color="000000"/>
              <w:left w:val="single" w:sz="8" w:space="0" w:color="000000"/>
              <w:bottom w:val="single" w:sz="8" w:space="0" w:color="000000"/>
              <w:right w:val="single" w:sz="8" w:space="0" w:color="000000"/>
            </w:tcBorders>
          </w:tcPr>
          <w:p w14:paraId="4AC96EB6" w14:textId="77777777" w:rsidR="003A0F72" w:rsidRPr="00802860" w:rsidRDefault="003A0F72" w:rsidP="00834274">
            <w:pPr>
              <w:ind w:left="172"/>
              <w:rPr>
                <w:szCs w:val="20"/>
              </w:rPr>
            </w:pPr>
            <w:r w:rsidRPr="00802860">
              <w:rPr>
                <w:szCs w:val="20"/>
              </w:rPr>
              <w:t>Added version control table.</w:t>
            </w:r>
          </w:p>
          <w:p w14:paraId="2CA90B8C" w14:textId="577C4AB2" w:rsidR="003A0F72" w:rsidRPr="00802860" w:rsidRDefault="001778AD" w:rsidP="00834274">
            <w:pPr>
              <w:ind w:left="172"/>
              <w:rPr>
                <w:szCs w:val="20"/>
              </w:rPr>
            </w:pPr>
            <w:r w:rsidRPr="00F9134F">
              <w:rPr>
                <w:szCs w:val="20"/>
              </w:rPr>
              <w:t>All other sections of the policy remain unchanged</w:t>
            </w:r>
          </w:p>
        </w:tc>
      </w:tr>
    </w:tbl>
    <w:p w14:paraId="507E5C20" w14:textId="77777777" w:rsidR="00FF735E" w:rsidRDefault="00FF735E"/>
    <w:p w14:paraId="1AA119C9" w14:textId="77777777" w:rsidR="00FF735E" w:rsidRDefault="00FF735E"/>
    <w:p w14:paraId="3166E58C" w14:textId="77777777" w:rsidR="00FF735E" w:rsidRDefault="00000000">
      <w:pPr>
        <w:rPr>
          <w:b/>
        </w:rPr>
      </w:pPr>
      <w:r>
        <w:br w:type="page"/>
      </w:r>
    </w:p>
    <w:p w14:paraId="5381082C" w14:textId="77777777" w:rsidR="00FF735E" w:rsidRDefault="00000000">
      <w:pPr>
        <w:pBdr>
          <w:top w:val="nil"/>
          <w:left w:val="nil"/>
          <w:bottom w:val="nil"/>
          <w:right w:val="nil"/>
          <w:between w:val="nil"/>
        </w:pBdr>
        <w:spacing w:after="400" w:line="300" w:lineRule="auto"/>
        <w:ind w:left="360" w:hanging="360"/>
        <w:jc w:val="both"/>
        <w:rPr>
          <w:b/>
          <w:color w:val="000000"/>
          <w:sz w:val="36"/>
          <w:szCs w:val="36"/>
        </w:rPr>
      </w:pPr>
      <w:r>
        <w:rPr>
          <w:b/>
          <w:color w:val="000000"/>
          <w:sz w:val="36"/>
          <w:szCs w:val="36"/>
        </w:rPr>
        <w:lastRenderedPageBreak/>
        <w:t>Table of Contents</w:t>
      </w:r>
    </w:p>
    <w:sdt>
      <w:sdtPr>
        <w:id w:val="1916970686"/>
        <w:docPartObj>
          <w:docPartGallery w:val="Table of Contents"/>
          <w:docPartUnique/>
        </w:docPartObj>
      </w:sdtPr>
      <w:sdtContent>
        <w:p w14:paraId="1823516F" w14:textId="77777777" w:rsidR="00FF735E" w:rsidRDefault="00000000">
          <w:pPr>
            <w:pBdr>
              <w:top w:val="nil"/>
              <w:left w:val="nil"/>
              <w:bottom w:val="nil"/>
              <w:right w:val="nil"/>
              <w:between w:val="nil"/>
            </w:pBdr>
            <w:tabs>
              <w:tab w:val="left" w:pos="660"/>
              <w:tab w:val="right" w:leader="dot" w:pos="9062"/>
            </w:tabs>
            <w:spacing w:before="120"/>
            <w:rPr>
              <w:color w:val="000000"/>
              <w:sz w:val="24"/>
              <w:szCs w:val="24"/>
            </w:rPr>
          </w:pPr>
          <w:r>
            <w:fldChar w:fldCharType="begin"/>
          </w:r>
          <w:r>
            <w:instrText xml:space="preserve"> TOC \h \u \z \t "Heading 1,1,Heading 2,2,Heading 3,3,"</w:instrText>
          </w:r>
          <w:r>
            <w:fldChar w:fldCharType="separate"/>
          </w:r>
          <w:hyperlink w:anchor="_heading=h.gjdgxs">
            <w:r>
              <w:rPr>
                <w:b/>
                <w:i/>
                <w:color w:val="000000"/>
                <w:sz w:val="24"/>
                <w:szCs w:val="24"/>
              </w:rPr>
              <w:t>1.</w:t>
            </w:r>
          </w:hyperlink>
          <w:hyperlink w:anchor="_heading=h.gjdgxs">
            <w:r>
              <w:rPr>
                <w:color w:val="000000"/>
                <w:sz w:val="24"/>
                <w:szCs w:val="24"/>
              </w:rPr>
              <w:tab/>
            </w:r>
          </w:hyperlink>
          <w:r>
            <w:fldChar w:fldCharType="begin"/>
          </w:r>
          <w:r>
            <w:instrText xml:space="preserve"> PAGEREF _heading=h.gjdgxs \h </w:instrText>
          </w:r>
          <w:r>
            <w:fldChar w:fldCharType="separate"/>
          </w:r>
          <w:r>
            <w:rPr>
              <w:b/>
              <w:i/>
              <w:color w:val="000000"/>
              <w:sz w:val="24"/>
              <w:szCs w:val="24"/>
            </w:rPr>
            <w:t>Purpose</w:t>
          </w:r>
          <w:r>
            <w:rPr>
              <w:b/>
              <w:i/>
              <w:color w:val="000000"/>
              <w:sz w:val="24"/>
              <w:szCs w:val="24"/>
            </w:rPr>
            <w:tab/>
            <w:t>3</w:t>
          </w:r>
          <w:r>
            <w:fldChar w:fldCharType="end"/>
          </w:r>
        </w:p>
        <w:p w14:paraId="1DF7D3D0" w14:textId="77777777" w:rsidR="00FF735E" w:rsidRDefault="00000000">
          <w:pPr>
            <w:pBdr>
              <w:top w:val="nil"/>
              <w:left w:val="nil"/>
              <w:bottom w:val="nil"/>
              <w:right w:val="nil"/>
              <w:between w:val="nil"/>
            </w:pBdr>
            <w:tabs>
              <w:tab w:val="left" w:pos="660"/>
              <w:tab w:val="right" w:leader="dot" w:pos="9062"/>
            </w:tabs>
            <w:spacing w:before="120"/>
            <w:rPr>
              <w:color w:val="000000"/>
              <w:sz w:val="24"/>
              <w:szCs w:val="24"/>
            </w:rPr>
          </w:pPr>
          <w:hyperlink w:anchor="_heading=h.30j0zll">
            <w:r>
              <w:rPr>
                <w:b/>
                <w:i/>
                <w:color w:val="000000"/>
                <w:sz w:val="24"/>
                <w:szCs w:val="24"/>
              </w:rPr>
              <w:t>2.</w:t>
            </w:r>
          </w:hyperlink>
          <w:hyperlink w:anchor="_heading=h.30j0zll">
            <w:r>
              <w:rPr>
                <w:color w:val="000000"/>
                <w:sz w:val="24"/>
                <w:szCs w:val="24"/>
              </w:rPr>
              <w:tab/>
            </w:r>
          </w:hyperlink>
          <w:r>
            <w:fldChar w:fldCharType="begin"/>
          </w:r>
          <w:r>
            <w:instrText xml:space="preserve"> PAGEREF _heading=h.30j0zll \h </w:instrText>
          </w:r>
          <w:r>
            <w:fldChar w:fldCharType="separate"/>
          </w:r>
          <w:r>
            <w:rPr>
              <w:b/>
              <w:i/>
              <w:color w:val="000000"/>
              <w:sz w:val="24"/>
              <w:szCs w:val="24"/>
            </w:rPr>
            <w:t>Scope</w:t>
          </w:r>
          <w:r>
            <w:rPr>
              <w:b/>
              <w:i/>
              <w:color w:val="000000"/>
              <w:sz w:val="24"/>
              <w:szCs w:val="24"/>
            </w:rPr>
            <w:tab/>
            <w:t>3</w:t>
          </w:r>
          <w:r>
            <w:fldChar w:fldCharType="end"/>
          </w:r>
        </w:p>
        <w:p w14:paraId="478586CA" w14:textId="77777777" w:rsidR="00FF735E" w:rsidRDefault="00000000">
          <w:pPr>
            <w:pBdr>
              <w:top w:val="nil"/>
              <w:left w:val="nil"/>
              <w:bottom w:val="nil"/>
              <w:right w:val="nil"/>
              <w:between w:val="nil"/>
            </w:pBdr>
            <w:tabs>
              <w:tab w:val="left" w:pos="660"/>
              <w:tab w:val="right" w:leader="dot" w:pos="9062"/>
            </w:tabs>
            <w:spacing w:before="120"/>
            <w:rPr>
              <w:color w:val="000000"/>
              <w:sz w:val="24"/>
              <w:szCs w:val="24"/>
            </w:rPr>
          </w:pPr>
          <w:hyperlink w:anchor="_heading=h.1fob9te">
            <w:r>
              <w:rPr>
                <w:b/>
                <w:i/>
                <w:color w:val="000000"/>
                <w:sz w:val="24"/>
                <w:szCs w:val="24"/>
              </w:rPr>
              <w:t>3.</w:t>
            </w:r>
          </w:hyperlink>
          <w:hyperlink w:anchor="_heading=h.1fob9te">
            <w:r>
              <w:rPr>
                <w:color w:val="000000"/>
                <w:sz w:val="24"/>
                <w:szCs w:val="24"/>
              </w:rPr>
              <w:tab/>
            </w:r>
          </w:hyperlink>
          <w:r>
            <w:fldChar w:fldCharType="begin"/>
          </w:r>
          <w:r>
            <w:instrText xml:space="preserve"> PAGEREF _heading=h.1fob9te \h </w:instrText>
          </w:r>
          <w:r>
            <w:fldChar w:fldCharType="separate"/>
          </w:r>
          <w:r>
            <w:rPr>
              <w:b/>
              <w:i/>
              <w:color w:val="000000"/>
              <w:sz w:val="24"/>
              <w:szCs w:val="24"/>
            </w:rPr>
            <w:t>Aims and Objectives</w:t>
          </w:r>
          <w:r>
            <w:rPr>
              <w:b/>
              <w:i/>
              <w:color w:val="000000"/>
              <w:sz w:val="24"/>
              <w:szCs w:val="24"/>
            </w:rPr>
            <w:tab/>
            <w:t>4</w:t>
          </w:r>
          <w:r>
            <w:fldChar w:fldCharType="end"/>
          </w:r>
        </w:p>
        <w:p w14:paraId="6890BE02" w14:textId="77777777" w:rsidR="00FF735E" w:rsidRDefault="00000000">
          <w:pPr>
            <w:pBdr>
              <w:top w:val="nil"/>
              <w:left w:val="nil"/>
              <w:bottom w:val="nil"/>
              <w:right w:val="nil"/>
              <w:between w:val="nil"/>
            </w:pBdr>
            <w:tabs>
              <w:tab w:val="left" w:pos="660"/>
              <w:tab w:val="right" w:leader="dot" w:pos="9062"/>
            </w:tabs>
            <w:spacing w:before="120"/>
            <w:rPr>
              <w:color w:val="000000"/>
              <w:sz w:val="24"/>
              <w:szCs w:val="24"/>
            </w:rPr>
          </w:pPr>
          <w:hyperlink w:anchor="_heading=h.3znysh7">
            <w:r>
              <w:rPr>
                <w:b/>
                <w:i/>
                <w:color w:val="000000"/>
                <w:sz w:val="24"/>
                <w:szCs w:val="24"/>
              </w:rPr>
              <w:t>4.</w:t>
            </w:r>
          </w:hyperlink>
          <w:hyperlink w:anchor="_heading=h.3znysh7">
            <w:r>
              <w:rPr>
                <w:color w:val="000000"/>
                <w:sz w:val="24"/>
                <w:szCs w:val="24"/>
              </w:rPr>
              <w:tab/>
            </w:r>
          </w:hyperlink>
          <w:r>
            <w:fldChar w:fldCharType="begin"/>
          </w:r>
          <w:r>
            <w:instrText xml:space="preserve"> PAGEREF _heading=h.3znysh7 \h </w:instrText>
          </w:r>
          <w:r>
            <w:fldChar w:fldCharType="separate"/>
          </w:r>
          <w:r>
            <w:rPr>
              <w:b/>
              <w:i/>
              <w:color w:val="000000"/>
              <w:sz w:val="24"/>
              <w:szCs w:val="24"/>
            </w:rPr>
            <w:t>Definitions</w:t>
          </w:r>
          <w:r>
            <w:rPr>
              <w:b/>
              <w:i/>
              <w:color w:val="000000"/>
              <w:sz w:val="24"/>
              <w:szCs w:val="24"/>
            </w:rPr>
            <w:tab/>
            <w:t>4</w:t>
          </w:r>
          <w:r>
            <w:fldChar w:fldCharType="end"/>
          </w:r>
        </w:p>
        <w:p w14:paraId="13D64FA3" w14:textId="77777777" w:rsidR="00FF735E" w:rsidRDefault="00000000">
          <w:pPr>
            <w:pBdr>
              <w:top w:val="nil"/>
              <w:left w:val="nil"/>
              <w:bottom w:val="nil"/>
              <w:right w:val="nil"/>
              <w:between w:val="nil"/>
            </w:pBdr>
            <w:tabs>
              <w:tab w:val="left" w:pos="880"/>
              <w:tab w:val="right" w:leader="dot" w:pos="9062"/>
            </w:tabs>
            <w:spacing w:before="120"/>
            <w:ind w:left="220"/>
            <w:rPr>
              <w:color w:val="000000"/>
              <w:sz w:val="24"/>
              <w:szCs w:val="24"/>
            </w:rPr>
          </w:pPr>
          <w:hyperlink w:anchor="_heading=h.2et92p0">
            <w:r>
              <w:rPr>
                <w:b/>
                <w:color w:val="000000"/>
              </w:rPr>
              <w:t>4.1.</w:t>
            </w:r>
          </w:hyperlink>
          <w:hyperlink w:anchor="_heading=h.2et92p0">
            <w:r>
              <w:rPr>
                <w:color w:val="000000"/>
                <w:sz w:val="24"/>
                <w:szCs w:val="24"/>
              </w:rPr>
              <w:tab/>
            </w:r>
          </w:hyperlink>
          <w:r>
            <w:fldChar w:fldCharType="begin"/>
          </w:r>
          <w:r>
            <w:instrText xml:space="preserve"> PAGEREF _heading=h.2et92p0 \h </w:instrText>
          </w:r>
          <w:r>
            <w:fldChar w:fldCharType="separate"/>
          </w:r>
          <w:r>
            <w:rPr>
              <w:b/>
              <w:color w:val="000000"/>
            </w:rPr>
            <w:t>Formative Assessment</w:t>
          </w:r>
          <w:r>
            <w:rPr>
              <w:b/>
              <w:color w:val="000000"/>
            </w:rPr>
            <w:tab/>
            <w:t>4</w:t>
          </w:r>
          <w:r>
            <w:fldChar w:fldCharType="end"/>
          </w:r>
        </w:p>
        <w:p w14:paraId="1FB9CBD3" w14:textId="77777777" w:rsidR="00FF735E" w:rsidRDefault="00000000">
          <w:pPr>
            <w:pBdr>
              <w:top w:val="nil"/>
              <w:left w:val="nil"/>
              <w:bottom w:val="nil"/>
              <w:right w:val="nil"/>
              <w:between w:val="nil"/>
            </w:pBdr>
            <w:tabs>
              <w:tab w:val="left" w:pos="880"/>
              <w:tab w:val="right" w:leader="dot" w:pos="9062"/>
            </w:tabs>
            <w:spacing w:before="120"/>
            <w:ind w:left="220"/>
            <w:rPr>
              <w:color w:val="000000"/>
              <w:sz w:val="24"/>
              <w:szCs w:val="24"/>
            </w:rPr>
          </w:pPr>
          <w:hyperlink w:anchor="_heading=h.tyjcwt">
            <w:r>
              <w:rPr>
                <w:b/>
                <w:color w:val="000000"/>
              </w:rPr>
              <w:t>4.2.</w:t>
            </w:r>
          </w:hyperlink>
          <w:hyperlink w:anchor="_heading=h.tyjcwt">
            <w:r>
              <w:rPr>
                <w:color w:val="000000"/>
                <w:sz w:val="24"/>
                <w:szCs w:val="24"/>
              </w:rPr>
              <w:tab/>
            </w:r>
          </w:hyperlink>
          <w:r>
            <w:fldChar w:fldCharType="begin"/>
          </w:r>
          <w:r>
            <w:instrText xml:space="preserve"> PAGEREF _heading=h.tyjcwt \h </w:instrText>
          </w:r>
          <w:r>
            <w:fldChar w:fldCharType="separate"/>
          </w:r>
          <w:r>
            <w:rPr>
              <w:b/>
              <w:color w:val="000000"/>
            </w:rPr>
            <w:t>Summative Assessment</w:t>
          </w:r>
          <w:r>
            <w:rPr>
              <w:b/>
              <w:color w:val="000000"/>
            </w:rPr>
            <w:tab/>
            <w:t>5</w:t>
          </w:r>
          <w:r>
            <w:fldChar w:fldCharType="end"/>
          </w:r>
        </w:p>
        <w:p w14:paraId="35CD2C8E" w14:textId="77777777" w:rsidR="00FF735E" w:rsidRDefault="00000000">
          <w:pPr>
            <w:pBdr>
              <w:top w:val="nil"/>
              <w:left w:val="nil"/>
              <w:bottom w:val="nil"/>
              <w:right w:val="nil"/>
              <w:between w:val="nil"/>
            </w:pBdr>
            <w:tabs>
              <w:tab w:val="left" w:pos="660"/>
              <w:tab w:val="right" w:leader="dot" w:pos="9062"/>
            </w:tabs>
            <w:spacing w:before="120"/>
            <w:rPr>
              <w:color w:val="000000"/>
              <w:sz w:val="24"/>
              <w:szCs w:val="24"/>
            </w:rPr>
          </w:pPr>
          <w:hyperlink w:anchor="_heading=h.3dy6vkm">
            <w:r>
              <w:rPr>
                <w:b/>
                <w:i/>
                <w:color w:val="000000"/>
                <w:sz w:val="24"/>
                <w:szCs w:val="24"/>
              </w:rPr>
              <w:t>5.</w:t>
            </w:r>
          </w:hyperlink>
          <w:hyperlink w:anchor="_heading=h.3dy6vkm">
            <w:r>
              <w:rPr>
                <w:color w:val="000000"/>
                <w:sz w:val="24"/>
                <w:szCs w:val="24"/>
              </w:rPr>
              <w:tab/>
            </w:r>
          </w:hyperlink>
          <w:r>
            <w:fldChar w:fldCharType="begin"/>
          </w:r>
          <w:r>
            <w:instrText xml:space="preserve"> PAGEREF _heading=h.3dy6vkm \h </w:instrText>
          </w:r>
          <w:r>
            <w:fldChar w:fldCharType="separate"/>
          </w:r>
          <w:r>
            <w:rPr>
              <w:b/>
              <w:i/>
              <w:color w:val="000000"/>
              <w:sz w:val="24"/>
              <w:szCs w:val="24"/>
            </w:rPr>
            <w:t>Assessment Regulations</w:t>
          </w:r>
          <w:r>
            <w:rPr>
              <w:b/>
              <w:i/>
              <w:color w:val="000000"/>
              <w:sz w:val="24"/>
              <w:szCs w:val="24"/>
            </w:rPr>
            <w:tab/>
            <w:t>5</w:t>
          </w:r>
          <w:r>
            <w:fldChar w:fldCharType="end"/>
          </w:r>
        </w:p>
        <w:p w14:paraId="1B330154" w14:textId="77777777" w:rsidR="00FF735E" w:rsidRDefault="00000000">
          <w:pPr>
            <w:pBdr>
              <w:top w:val="nil"/>
              <w:left w:val="nil"/>
              <w:bottom w:val="nil"/>
              <w:right w:val="nil"/>
              <w:between w:val="nil"/>
            </w:pBdr>
            <w:tabs>
              <w:tab w:val="left" w:pos="880"/>
              <w:tab w:val="right" w:leader="dot" w:pos="9062"/>
            </w:tabs>
            <w:spacing w:before="120"/>
            <w:ind w:left="220"/>
            <w:rPr>
              <w:color w:val="000000"/>
              <w:sz w:val="24"/>
              <w:szCs w:val="24"/>
            </w:rPr>
          </w:pPr>
          <w:hyperlink w:anchor="_heading=h.1t3h5sf">
            <w:r>
              <w:rPr>
                <w:b/>
                <w:color w:val="000000"/>
              </w:rPr>
              <w:t>5.1.</w:t>
            </w:r>
          </w:hyperlink>
          <w:hyperlink w:anchor="_heading=h.1t3h5sf">
            <w:r>
              <w:rPr>
                <w:color w:val="000000"/>
                <w:sz w:val="24"/>
                <w:szCs w:val="24"/>
              </w:rPr>
              <w:tab/>
            </w:r>
          </w:hyperlink>
          <w:r>
            <w:fldChar w:fldCharType="begin"/>
          </w:r>
          <w:r>
            <w:instrText xml:space="preserve"> PAGEREF _heading=h.1t3h5sf \h </w:instrText>
          </w:r>
          <w:r>
            <w:fldChar w:fldCharType="separate"/>
          </w:r>
          <w:r>
            <w:rPr>
              <w:b/>
              <w:color w:val="000000"/>
            </w:rPr>
            <w:t>Deadlines</w:t>
          </w:r>
          <w:r>
            <w:rPr>
              <w:b/>
              <w:color w:val="000000"/>
            </w:rPr>
            <w:tab/>
            <w:t>5</w:t>
          </w:r>
          <w:r>
            <w:fldChar w:fldCharType="end"/>
          </w:r>
        </w:p>
        <w:p w14:paraId="0EC6C0C5" w14:textId="77777777" w:rsidR="00FF735E" w:rsidRDefault="00000000">
          <w:pPr>
            <w:pBdr>
              <w:top w:val="nil"/>
              <w:left w:val="nil"/>
              <w:bottom w:val="nil"/>
              <w:right w:val="nil"/>
              <w:between w:val="nil"/>
            </w:pBdr>
            <w:tabs>
              <w:tab w:val="left" w:pos="880"/>
              <w:tab w:val="right" w:leader="dot" w:pos="9062"/>
            </w:tabs>
            <w:spacing w:before="120"/>
            <w:ind w:left="220"/>
            <w:rPr>
              <w:color w:val="000000"/>
              <w:sz w:val="24"/>
              <w:szCs w:val="24"/>
            </w:rPr>
          </w:pPr>
          <w:hyperlink w:anchor="_heading=h.4d34og8">
            <w:r>
              <w:rPr>
                <w:b/>
                <w:color w:val="000000"/>
                <w:highlight w:val="white"/>
              </w:rPr>
              <w:t>5.2.</w:t>
            </w:r>
          </w:hyperlink>
          <w:hyperlink w:anchor="_heading=h.4d34og8">
            <w:r>
              <w:rPr>
                <w:color w:val="000000"/>
                <w:sz w:val="24"/>
                <w:szCs w:val="24"/>
              </w:rPr>
              <w:tab/>
            </w:r>
          </w:hyperlink>
          <w:r>
            <w:fldChar w:fldCharType="begin"/>
          </w:r>
          <w:r>
            <w:instrText xml:space="preserve"> PAGEREF _heading=h.4d34og8 \h </w:instrText>
          </w:r>
          <w:r>
            <w:fldChar w:fldCharType="separate"/>
          </w:r>
          <w:r>
            <w:rPr>
              <w:b/>
              <w:color w:val="000000"/>
              <w:highlight w:val="white"/>
            </w:rPr>
            <w:t>Late Submission</w:t>
          </w:r>
          <w:r>
            <w:rPr>
              <w:b/>
              <w:color w:val="000000"/>
            </w:rPr>
            <w:tab/>
            <w:t>5</w:t>
          </w:r>
          <w:r>
            <w:fldChar w:fldCharType="end"/>
          </w:r>
        </w:p>
        <w:p w14:paraId="79DE0374" w14:textId="77777777" w:rsidR="00FF735E" w:rsidRDefault="00000000">
          <w:pPr>
            <w:pBdr>
              <w:top w:val="nil"/>
              <w:left w:val="nil"/>
              <w:bottom w:val="nil"/>
              <w:right w:val="nil"/>
              <w:between w:val="nil"/>
            </w:pBdr>
            <w:tabs>
              <w:tab w:val="left" w:pos="880"/>
              <w:tab w:val="right" w:leader="dot" w:pos="9062"/>
            </w:tabs>
            <w:spacing w:before="120"/>
            <w:ind w:left="220"/>
            <w:rPr>
              <w:color w:val="000000"/>
              <w:sz w:val="24"/>
              <w:szCs w:val="24"/>
            </w:rPr>
          </w:pPr>
          <w:hyperlink w:anchor="_heading=h.2s8eyo1">
            <w:r>
              <w:rPr>
                <w:b/>
                <w:color w:val="000000"/>
              </w:rPr>
              <w:t>5.3.</w:t>
            </w:r>
          </w:hyperlink>
          <w:hyperlink w:anchor="_heading=h.2s8eyo1">
            <w:r>
              <w:rPr>
                <w:color w:val="000000"/>
                <w:sz w:val="24"/>
                <w:szCs w:val="24"/>
              </w:rPr>
              <w:tab/>
            </w:r>
          </w:hyperlink>
          <w:r>
            <w:fldChar w:fldCharType="begin"/>
          </w:r>
          <w:r>
            <w:instrText xml:space="preserve"> PAGEREF _heading=h.2s8eyo1 \h </w:instrText>
          </w:r>
          <w:r>
            <w:fldChar w:fldCharType="separate"/>
          </w:r>
          <w:r>
            <w:rPr>
              <w:b/>
              <w:color w:val="000000"/>
            </w:rPr>
            <w:t>Mitigating Circumstances</w:t>
          </w:r>
          <w:r>
            <w:rPr>
              <w:b/>
              <w:color w:val="000000"/>
            </w:rPr>
            <w:tab/>
            <w:t>5</w:t>
          </w:r>
          <w:r>
            <w:fldChar w:fldCharType="end"/>
          </w:r>
        </w:p>
        <w:p w14:paraId="55377AB1" w14:textId="77777777" w:rsidR="00FF735E" w:rsidRDefault="00000000">
          <w:pPr>
            <w:pBdr>
              <w:top w:val="nil"/>
              <w:left w:val="nil"/>
              <w:bottom w:val="nil"/>
              <w:right w:val="nil"/>
              <w:between w:val="nil"/>
            </w:pBdr>
            <w:tabs>
              <w:tab w:val="left" w:pos="880"/>
              <w:tab w:val="right" w:leader="dot" w:pos="9062"/>
            </w:tabs>
            <w:spacing w:before="120"/>
            <w:ind w:left="220"/>
            <w:rPr>
              <w:color w:val="000000"/>
              <w:sz w:val="24"/>
              <w:szCs w:val="24"/>
            </w:rPr>
          </w:pPr>
          <w:hyperlink w:anchor="_heading=h.17dp8vu">
            <w:r>
              <w:rPr>
                <w:b/>
                <w:color w:val="000000"/>
              </w:rPr>
              <w:t>5.4.</w:t>
            </w:r>
          </w:hyperlink>
          <w:hyperlink w:anchor="_heading=h.17dp8vu">
            <w:r>
              <w:rPr>
                <w:color w:val="000000"/>
                <w:sz w:val="24"/>
                <w:szCs w:val="24"/>
              </w:rPr>
              <w:tab/>
            </w:r>
          </w:hyperlink>
          <w:r>
            <w:fldChar w:fldCharType="begin"/>
          </w:r>
          <w:r>
            <w:instrText xml:space="preserve"> PAGEREF _heading=h.17dp8vu \h </w:instrText>
          </w:r>
          <w:r>
            <w:fldChar w:fldCharType="separate"/>
          </w:r>
          <w:r>
            <w:rPr>
              <w:b/>
              <w:color w:val="000000"/>
            </w:rPr>
            <w:t>Feedback on Submissions</w:t>
          </w:r>
          <w:r>
            <w:rPr>
              <w:b/>
              <w:color w:val="000000"/>
            </w:rPr>
            <w:tab/>
            <w:t>6</w:t>
          </w:r>
          <w:r>
            <w:fldChar w:fldCharType="end"/>
          </w:r>
        </w:p>
        <w:p w14:paraId="4C6AB463" w14:textId="77777777" w:rsidR="00FF735E" w:rsidRDefault="00000000">
          <w:pPr>
            <w:pBdr>
              <w:top w:val="nil"/>
              <w:left w:val="nil"/>
              <w:bottom w:val="nil"/>
              <w:right w:val="nil"/>
              <w:between w:val="nil"/>
            </w:pBdr>
            <w:tabs>
              <w:tab w:val="left" w:pos="880"/>
              <w:tab w:val="right" w:leader="dot" w:pos="9062"/>
            </w:tabs>
            <w:spacing w:before="120"/>
            <w:ind w:left="220"/>
            <w:rPr>
              <w:color w:val="000000"/>
              <w:sz w:val="24"/>
              <w:szCs w:val="24"/>
            </w:rPr>
          </w:pPr>
          <w:hyperlink w:anchor="_heading=h.3rdcrjn">
            <w:r>
              <w:rPr>
                <w:b/>
                <w:color w:val="000000"/>
              </w:rPr>
              <w:t>5.5.</w:t>
            </w:r>
          </w:hyperlink>
          <w:hyperlink w:anchor="_heading=h.3rdcrjn">
            <w:r>
              <w:rPr>
                <w:color w:val="000000"/>
                <w:sz w:val="24"/>
                <w:szCs w:val="24"/>
              </w:rPr>
              <w:tab/>
            </w:r>
          </w:hyperlink>
          <w:r>
            <w:fldChar w:fldCharType="begin"/>
          </w:r>
          <w:r>
            <w:instrText xml:space="preserve"> PAGEREF _heading=h.3rdcrjn \h </w:instrText>
          </w:r>
          <w:r>
            <w:fldChar w:fldCharType="separate"/>
          </w:r>
          <w:r>
            <w:rPr>
              <w:b/>
              <w:color w:val="000000"/>
            </w:rPr>
            <w:t>Internal Verification</w:t>
          </w:r>
          <w:r>
            <w:rPr>
              <w:b/>
              <w:color w:val="000000"/>
            </w:rPr>
            <w:tab/>
            <w:t>6</w:t>
          </w:r>
          <w:r>
            <w:fldChar w:fldCharType="end"/>
          </w:r>
        </w:p>
        <w:p w14:paraId="34971CDF" w14:textId="77777777" w:rsidR="00FF735E" w:rsidRDefault="00000000">
          <w:pPr>
            <w:pBdr>
              <w:top w:val="nil"/>
              <w:left w:val="nil"/>
              <w:bottom w:val="nil"/>
              <w:right w:val="nil"/>
              <w:between w:val="nil"/>
            </w:pBdr>
            <w:tabs>
              <w:tab w:val="left" w:pos="880"/>
              <w:tab w:val="right" w:leader="dot" w:pos="9062"/>
            </w:tabs>
            <w:spacing w:before="120"/>
            <w:ind w:left="220"/>
            <w:rPr>
              <w:color w:val="000000"/>
              <w:sz w:val="24"/>
              <w:szCs w:val="24"/>
            </w:rPr>
          </w:pPr>
          <w:hyperlink w:anchor="_heading=h.26in1rg">
            <w:r>
              <w:rPr>
                <w:b/>
                <w:color w:val="000000"/>
              </w:rPr>
              <w:t>5.6.</w:t>
            </w:r>
          </w:hyperlink>
          <w:hyperlink w:anchor="_heading=h.26in1rg">
            <w:r>
              <w:rPr>
                <w:color w:val="000000"/>
                <w:sz w:val="24"/>
                <w:szCs w:val="24"/>
              </w:rPr>
              <w:tab/>
            </w:r>
          </w:hyperlink>
          <w:r>
            <w:fldChar w:fldCharType="begin"/>
          </w:r>
          <w:r>
            <w:instrText xml:space="preserve"> PAGEREF _heading=h.26in1rg \h </w:instrText>
          </w:r>
          <w:r>
            <w:fldChar w:fldCharType="separate"/>
          </w:r>
          <w:r>
            <w:rPr>
              <w:b/>
              <w:color w:val="000000"/>
            </w:rPr>
            <w:t>External Examination</w:t>
          </w:r>
          <w:r>
            <w:rPr>
              <w:b/>
              <w:color w:val="000000"/>
            </w:rPr>
            <w:tab/>
            <w:t>6</w:t>
          </w:r>
          <w:r>
            <w:fldChar w:fldCharType="end"/>
          </w:r>
        </w:p>
        <w:p w14:paraId="243B67DD" w14:textId="77777777" w:rsidR="00FF735E" w:rsidRDefault="00000000">
          <w:pPr>
            <w:pBdr>
              <w:top w:val="nil"/>
              <w:left w:val="nil"/>
              <w:bottom w:val="nil"/>
              <w:right w:val="nil"/>
              <w:between w:val="nil"/>
            </w:pBdr>
            <w:tabs>
              <w:tab w:val="left" w:pos="880"/>
              <w:tab w:val="right" w:leader="dot" w:pos="9062"/>
            </w:tabs>
            <w:spacing w:before="120"/>
            <w:ind w:left="220"/>
            <w:rPr>
              <w:color w:val="000000"/>
              <w:sz w:val="24"/>
              <w:szCs w:val="24"/>
            </w:rPr>
          </w:pPr>
          <w:hyperlink w:anchor="_heading=h.lnxbz9">
            <w:r>
              <w:rPr>
                <w:b/>
                <w:color w:val="000000"/>
              </w:rPr>
              <w:t>5.7.</w:t>
            </w:r>
          </w:hyperlink>
          <w:hyperlink w:anchor="_heading=h.lnxbz9">
            <w:r>
              <w:rPr>
                <w:color w:val="000000"/>
                <w:sz w:val="24"/>
                <w:szCs w:val="24"/>
              </w:rPr>
              <w:tab/>
            </w:r>
          </w:hyperlink>
          <w:r>
            <w:fldChar w:fldCharType="begin"/>
          </w:r>
          <w:r>
            <w:instrText xml:space="preserve"> PAGEREF _heading=h.lnxbz9 \h </w:instrText>
          </w:r>
          <w:r>
            <w:fldChar w:fldCharType="separate"/>
          </w:r>
          <w:r>
            <w:rPr>
              <w:b/>
              <w:color w:val="000000"/>
            </w:rPr>
            <w:t>Assessment Board</w:t>
          </w:r>
          <w:r>
            <w:rPr>
              <w:b/>
              <w:color w:val="000000"/>
            </w:rPr>
            <w:tab/>
            <w:t>7</w:t>
          </w:r>
          <w:r>
            <w:fldChar w:fldCharType="end"/>
          </w:r>
        </w:p>
        <w:p w14:paraId="160C3C64" w14:textId="77777777" w:rsidR="00FF735E" w:rsidRDefault="00000000">
          <w:pPr>
            <w:pBdr>
              <w:top w:val="nil"/>
              <w:left w:val="nil"/>
              <w:bottom w:val="nil"/>
              <w:right w:val="nil"/>
              <w:between w:val="nil"/>
            </w:pBdr>
            <w:tabs>
              <w:tab w:val="left" w:pos="880"/>
              <w:tab w:val="right" w:leader="dot" w:pos="9062"/>
            </w:tabs>
            <w:spacing w:before="120"/>
            <w:ind w:left="220"/>
            <w:rPr>
              <w:color w:val="000000"/>
              <w:sz w:val="24"/>
              <w:szCs w:val="24"/>
            </w:rPr>
          </w:pPr>
          <w:hyperlink w:anchor="_heading=h.35nkun2">
            <w:r>
              <w:rPr>
                <w:b/>
                <w:color w:val="000000"/>
              </w:rPr>
              <w:t>5.8.</w:t>
            </w:r>
          </w:hyperlink>
          <w:hyperlink w:anchor="_heading=h.35nkun2">
            <w:r>
              <w:rPr>
                <w:color w:val="000000"/>
                <w:sz w:val="24"/>
                <w:szCs w:val="24"/>
              </w:rPr>
              <w:tab/>
            </w:r>
          </w:hyperlink>
          <w:r>
            <w:fldChar w:fldCharType="begin"/>
          </w:r>
          <w:r>
            <w:instrText xml:space="preserve"> PAGEREF _heading=h.35nkun2 \h </w:instrText>
          </w:r>
          <w:r>
            <w:fldChar w:fldCharType="separate"/>
          </w:r>
          <w:r>
            <w:rPr>
              <w:b/>
              <w:color w:val="000000"/>
            </w:rPr>
            <w:t>The process of marking and giving feedback</w:t>
          </w:r>
          <w:r>
            <w:rPr>
              <w:b/>
              <w:color w:val="000000"/>
            </w:rPr>
            <w:tab/>
            <w:t>1</w:t>
          </w:r>
          <w:r>
            <w:fldChar w:fldCharType="end"/>
          </w:r>
        </w:p>
        <w:p w14:paraId="6E757728" w14:textId="77777777" w:rsidR="00FF735E" w:rsidRDefault="00000000">
          <w:pPr>
            <w:pBdr>
              <w:top w:val="nil"/>
              <w:left w:val="nil"/>
              <w:bottom w:val="nil"/>
              <w:right w:val="nil"/>
              <w:between w:val="nil"/>
            </w:pBdr>
            <w:tabs>
              <w:tab w:val="left" w:pos="880"/>
              <w:tab w:val="right" w:leader="dot" w:pos="9062"/>
            </w:tabs>
            <w:spacing w:before="120"/>
            <w:ind w:left="220"/>
            <w:rPr>
              <w:color w:val="000000"/>
              <w:sz w:val="24"/>
              <w:szCs w:val="24"/>
            </w:rPr>
          </w:pPr>
          <w:hyperlink w:anchor="_heading=h.1ksv4uv">
            <w:r>
              <w:rPr>
                <w:b/>
                <w:color w:val="000000"/>
              </w:rPr>
              <w:t>5.9.</w:t>
            </w:r>
          </w:hyperlink>
          <w:hyperlink w:anchor="_heading=h.1ksv4uv">
            <w:r>
              <w:rPr>
                <w:color w:val="000000"/>
                <w:sz w:val="24"/>
                <w:szCs w:val="24"/>
              </w:rPr>
              <w:tab/>
            </w:r>
          </w:hyperlink>
          <w:r>
            <w:fldChar w:fldCharType="begin"/>
          </w:r>
          <w:r>
            <w:instrText xml:space="preserve"> PAGEREF _heading=h.1ksv4uv \h </w:instrText>
          </w:r>
          <w:r>
            <w:fldChar w:fldCharType="separate"/>
          </w:r>
          <w:r>
            <w:rPr>
              <w:b/>
              <w:color w:val="000000"/>
            </w:rPr>
            <w:t>Resubmissions</w:t>
          </w:r>
          <w:r>
            <w:rPr>
              <w:b/>
              <w:color w:val="000000"/>
            </w:rPr>
            <w:tab/>
            <w:t>1</w:t>
          </w:r>
          <w:r>
            <w:fldChar w:fldCharType="end"/>
          </w:r>
        </w:p>
        <w:p w14:paraId="2B692787" w14:textId="77777777" w:rsidR="00FF735E" w:rsidRDefault="00000000">
          <w:pPr>
            <w:pBdr>
              <w:top w:val="nil"/>
              <w:left w:val="nil"/>
              <w:bottom w:val="nil"/>
              <w:right w:val="nil"/>
              <w:between w:val="nil"/>
            </w:pBdr>
            <w:tabs>
              <w:tab w:val="left" w:pos="1100"/>
              <w:tab w:val="right" w:leader="dot" w:pos="9062"/>
            </w:tabs>
            <w:spacing w:before="120"/>
            <w:ind w:left="220"/>
            <w:rPr>
              <w:color w:val="000000"/>
              <w:sz w:val="24"/>
              <w:szCs w:val="24"/>
            </w:rPr>
          </w:pPr>
          <w:hyperlink w:anchor="_heading=h.44sinio">
            <w:r>
              <w:rPr>
                <w:b/>
                <w:color w:val="000000"/>
              </w:rPr>
              <w:t>5.10.</w:t>
            </w:r>
          </w:hyperlink>
          <w:hyperlink w:anchor="_heading=h.44sinio">
            <w:r>
              <w:rPr>
                <w:color w:val="000000"/>
                <w:sz w:val="24"/>
                <w:szCs w:val="24"/>
              </w:rPr>
              <w:tab/>
            </w:r>
          </w:hyperlink>
          <w:r>
            <w:fldChar w:fldCharType="begin"/>
          </w:r>
          <w:r>
            <w:instrText xml:space="preserve"> PAGEREF _heading=h.44sinio \h </w:instrText>
          </w:r>
          <w:r>
            <w:fldChar w:fldCharType="separate"/>
          </w:r>
          <w:r>
            <w:rPr>
              <w:b/>
              <w:color w:val="000000"/>
            </w:rPr>
            <w:t>Retakes</w:t>
          </w:r>
          <w:r>
            <w:rPr>
              <w:b/>
              <w:color w:val="000000"/>
            </w:rPr>
            <w:tab/>
            <w:t>1</w:t>
          </w:r>
          <w:r>
            <w:fldChar w:fldCharType="end"/>
          </w:r>
        </w:p>
        <w:p w14:paraId="7C1E3264" w14:textId="77777777" w:rsidR="00FF735E" w:rsidRDefault="00000000">
          <w:pPr>
            <w:pBdr>
              <w:top w:val="nil"/>
              <w:left w:val="nil"/>
              <w:bottom w:val="nil"/>
              <w:right w:val="nil"/>
              <w:between w:val="nil"/>
            </w:pBdr>
            <w:tabs>
              <w:tab w:val="left" w:pos="1100"/>
              <w:tab w:val="right" w:leader="dot" w:pos="9062"/>
            </w:tabs>
            <w:spacing w:before="120"/>
            <w:ind w:left="220"/>
            <w:rPr>
              <w:color w:val="000000"/>
              <w:sz w:val="24"/>
              <w:szCs w:val="24"/>
            </w:rPr>
          </w:pPr>
          <w:hyperlink w:anchor="_heading=h.2jxsxqh">
            <w:r>
              <w:rPr>
                <w:b/>
                <w:color w:val="000000"/>
              </w:rPr>
              <w:t>5.11.</w:t>
            </w:r>
          </w:hyperlink>
          <w:hyperlink w:anchor="_heading=h.2jxsxqh">
            <w:r>
              <w:rPr>
                <w:color w:val="000000"/>
                <w:sz w:val="24"/>
                <w:szCs w:val="24"/>
              </w:rPr>
              <w:tab/>
            </w:r>
          </w:hyperlink>
          <w:r>
            <w:fldChar w:fldCharType="begin"/>
          </w:r>
          <w:r>
            <w:instrText xml:space="preserve"> PAGEREF _heading=h.2jxsxqh \h </w:instrText>
          </w:r>
          <w:r>
            <w:fldChar w:fldCharType="separate"/>
          </w:r>
          <w:r>
            <w:rPr>
              <w:b/>
              <w:color w:val="000000"/>
            </w:rPr>
            <w:t>Failure to Pass</w:t>
          </w:r>
          <w:r>
            <w:rPr>
              <w:b/>
              <w:color w:val="000000"/>
            </w:rPr>
            <w:tab/>
            <w:t>1</w:t>
          </w:r>
          <w:r>
            <w:fldChar w:fldCharType="end"/>
          </w:r>
        </w:p>
        <w:p w14:paraId="2D802A0E" w14:textId="77777777" w:rsidR="00FF735E" w:rsidRDefault="00000000">
          <w:pPr>
            <w:pBdr>
              <w:top w:val="nil"/>
              <w:left w:val="nil"/>
              <w:bottom w:val="nil"/>
              <w:right w:val="nil"/>
              <w:between w:val="nil"/>
            </w:pBdr>
            <w:tabs>
              <w:tab w:val="left" w:pos="1100"/>
              <w:tab w:val="right" w:leader="dot" w:pos="9062"/>
            </w:tabs>
            <w:spacing w:before="120"/>
            <w:ind w:left="220"/>
            <w:rPr>
              <w:color w:val="000000"/>
              <w:sz w:val="24"/>
              <w:szCs w:val="24"/>
            </w:rPr>
          </w:pPr>
          <w:hyperlink w:anchor="_heading=h.z337ya">
            <w:r>
              <w:rPr>
                <w:b/>
                <w:color w:val="000000"/>
              </w:rPr>
              <w:t>5.12.</w:t>
            </w:r>
          </w:hyperlink>
          <w:hyperlink w:anchor="_heading=h.z337ya">
            <w:r>
              <w:rPr>
                <w:color w:val="000000"/>
                <w:sz w:val="24"/>
                <w:szCs w:val="24"/>
              </w:rPr>
              <w:tab/>
            </w:r>
          </w:hyperlink>
          <w:r>
            <w:fldChar w:fldCharType="begin"/>
          </w:r>
          <w:r>
            <w:instrText xml:space="preserve"> PAGEREF _heading=h.z337ya \h </w:instrText>
          </w:r>
          <w:r>
            <w:fldChar w:fldCharType="separate"/>
          </w:r>
          <w:r>
            <w:rPr>
              <w:b/>
              <w:color w:val="000000"/>
            </w:rPr>
            <w:t>Grades</w:t>
          </w:r>
          <w:r>
            <w:rPr>
              <w:b/>
              <w:color w:val="000000"/>
            </w:rPr>
            <w:tab/>
            <w:t>2</w:t>
          </w:r>
          <w:r>
            <w:fldChar w:fldCharType="end"/>
          </w:r>
        </w:p>
        <w:p w14:paraId="28DA1B00" w14:textId="77777777" w:rsidR="00FF735E" w:rsidRDefault="00000000">
          <w:pPr>
            <w:pBdr>
              <w:top w:val="nil"/>
              <w:left w:val="nil"/>
              <w:bottom w:val="nil"/>
              <w:right w:val="nil"/>
              <w:between w:val="nil"/>
            </w:pBdr>
            <w:tabs>
              <w:tab w:val="left" w:pos="1100"/>
              <w:tab w:val="right" w:leader="dot" w:pos="9062"/>
            </w:tabs>
            <w:spacing w:before="120"/>
            <w:ind w:left="220"/>
            <w:rPr>
              <w:color w:val="000000"/>
              <w:sz w:val="24"/>
              <w:szCs w:val="24"/>
            </w:rPr>
          </w:pPr>
          <w:hyperlink w:anchor="_heading=h.3j2qqm3">
            <w:r>
              <w:rPr>
                <w:b/>
                <w:color w:val="000000"/>
              </w:rPr>
              <w:t>5.13.</w:t>
            </w:r>
          </w:hyperlink>
          <w:hyperlink w:anchor="_heading=h.3j2qqm3">
            <w:r>
              <w:rPr>
                <w:color w:val="000000"/>
                <w:sz w:val="24"/>
                <w:szCs w:val="24"/>
              </w:rPr>
              <w:tab/>
            </w:r>
          </w:hyperlink>
          <w:r>
            <w:fldChar w:fldCharType="begin"/>
          </w:r>
          <w:r>
            <w:instrText xml:space="preserve"> PAGEREF _heading=h.3j2qqm3 \h </w:instrText>
          </w:r>
          <w:r>
            <w:fldChar w:fldCharType="separate"/>
          </w:r>
          <w:r>
            <w:rPr>
              <w:b/>
              <w:color w:val="000000"/>
            </w:rPr>
            <w:t>Compensatory Credit</w:t>
          </w:r>
          <w:r>
            <w:rPr>
              <w:b/>
              <w:color w:val="000000"/>
            </w:rPr>
            <w:tab/>
            <w:t>2</w:t>
          </w:r>
          <w:r>
            <w:fldChar w:fldCharType="end"/>
          </w:r>
        </w:p>
        <w:p w14:paraId="524AA684" w14:textId="77777777" w:rsidR="00FF735E" w:rsidRDefault="00000000">
          <w:pPr>
            <w:pBdr>
              <w:top w:val="nil"/>
              <w:left w:val="nil"/>
              <w:bottom w:val="nil"/>
              <w:right w:val="nil"/>
              <w:between w:val="nil"/>
            </w:pBdr>
            <w:tabs>
              <w:tab w:val="left" w:pos="1100"/>
              <w:tab w:val="right" w:leader="dot" w:pos="9062"/>
            </w:tabs>
            <w:spacing w:before="120"/>
            <w:ind w:left="220"/>
            <w:rPr>
              <w:color w:val="000000"/>
              <w:sz w:val="24"/>
              <w:szCs w:val="24"/>
            </w:rPr>
          </w:pPr>
          <w:hyperlink w:anchor="_heading=h.1y810tw">
            <w:r>
              <w:rPr>
                <w:b/>
                <w:color w:val="000000"/>
              </w:rPr>
              <w:t>5.14.</w:t>
            </w:r>
          </w:hyperlink>
          <w:hyperlink w:anchor="_heading=h.1y810tw">
            <w:r>
              <w:rPr>
                <w:color w:val="000000"/>
                <w:sz w:val="24"/>
                <w:szCs w:val="24"/>
              </w:rPr>
              <w:tab/>
            </w:r>
          </w:hyperlink>
          <w:r>
            <w:fldChar w:fldCharType="begin"/>
          </w:r>
          <w:r>
            <w:instrText xml:space="preserve"> PAGEREF _heading=h.1y810tw \h </w:instrText>
          </w:r>
          <w:r>
            <w:fldChar w:fldCharType="separate"/>
          </w:r>
          <w:r>
            <w:rPr>
              <w:b/>
              <w:color w:val="000000"/>
            </w:rPr>
            <w:t>Calculating Final Grade for HND</w:t>
          </w:r>
          <w:r>
            <w:rPr>
              <w:b/>
              <w:color w:val="000000"/>
            </w:rPr>
            <w:tab/>
            <w:t>2</w:t>
          </w:r>
          <w:r>
            <w:fldChar w:fldCharType="end"/>
          </w:r>
        </w:p>
        <w:p w14:paraId="14E2F5CA" w14:textId="77777777" w:rsidR="00FF735E" w:rsidRDefault="00000000">
          <w:pPr>
            <w:pBdr>
              <w:top w:val="nil"/>
              <w:left w:val="nil"/>
              <w:bottom w:val="nil"/>
              <w:right w:val="nil"/>
              <w:between w:val="nil"/>
            </w:pBdr>
            <w:tabs>
              <w:tab w:val="left" w:pos="1100"/>
              <w:tab w:val="right" w:leader="dot" w:pos="9062"/>
            </w:tabs>
            <w:spacing w:before="120"/>
            <w:ind w:left="220"/>
            <w:rPr>
              <w:color w:val="000000"/>
              <w:sz w:val="24"/>
              <w:szCs w:val="24"/>
            </w:rPr>
          </w:pPr>
          <w:hyperlink w:anchor="_heading=h.4i7ojhp">
            <w:r>
              <w:rPr>
                <w:b/>
                <w:color w:val="000000"/>
              </w:rPr>
              <w:t>5.15.</w:t>
            </w:r>
          </w:hyperlink>
          <w:hyperlink w:anchor="_heading=h.4i7ojhp">
            <w:r>
              <w:rPr>
                <w:color w:val="000000"/>
                <w:sz w:val="24"/>
                <w:szCs w:val="24"/>
              </w:rPr>
              <w:tab/>
            </w:r>
          </w:hyperlink>
          <w:r>
            <w:fldChar w:fldCharType="begin"/>
          </w:r>
          <w:r>
            <w:instrText xml:space="preserve"> PAGEREF _heading=h.4i7ojhp \h </w:instrText>
          </w:r>
          <w:r>
            <w:fldChar w:fldCharType="separate"/>
          </w:r>
          <w:r>
            <w:rPr>
              <w:b/>
              <w:color w:val="000000"/>
            </w:rPr>
            <w:t>Publishing Grades</w:t>
          </w:r>
          <w:r>
            <w:rPr>
              <w:b/>
              <w:color w:val="000000"/>
            </w:rPr>
            <w:tab/>
            <w:t>3</w:t>
          </w:r>
          <w:r>
            <w:fldChar w:fldCharType="end"/>
          </w:r>
        </w:p>
        <w:p w14:paraId="61FC0612" w14:textId="77777777" w:rsidR="00FF735E" w:rsidRDefault="00000000">
          <w:r>
            <w:fldChar w:fldCharType="end"/>
          </w:r>
        </w:p>
      </w:sdtContent>
    </w:sdt>
    <w:p w14:paraId="1C81C984" w14:textId="77777777" w:rsidR="00FF735E" w:rsidRDefault="00FF735E"/>
    <w:p w14:paraId="3A1C92C9" w14:textId="77777777" w:rsidR="00FF735E" w:rsidRDefault="00FF735E"/>
    <w:p w14:paraId="75380DF2" w14:textId="77777777" w:rsidR="00FF735E" w:rsidRDefault="00FF735E"/>
    <w:p w14:paraId="027BF075" w14:textId="77777777" w:rsidR="00FF735E" w:rsidRDefault="00FF735E"/>
    <w:p w14:paraId="67C46F6D" w14:textId="77777777" w:rsidR="00FF735E" w:rsidRDefault="00000000">
      <w:pPr>
        <w:rPr>
          <w:b/>
        </w:rPr>
      </w:pPr>
      <w:r>
        <w:br w:type="page"/>
      </w:r>
    </w:p>
    <w:p w14:paraId="75F387E8" w14:textId="77777777" w:rsidR="00FF735E" w:rsidRDefault="00000000">
      <w:pPr>
        <w:pStyle w:val="Heading1"/>
      </w:pPr>
      <w:bookmarkStart w:id="0" w:name="_heading=h.gjdgxs" w:colFirst="0" w:colLast="0"/>
      <w:bookmarkEnd w:id="0"/>
      <w:r>
        <w:lastRenderedPageBreak/>
        <w:t xml:space="preserve">Purpose </w:t>
      </w:r>
    </w:p>
    <w:p w14:paraId="1AB1C1ED" w14:textId="77777777" w:rsidR="00FF735E" w:rsidRDefault="00FF735E"/>
    <w:p w14:paraId="30695121" w14:textId="77777777" w:rsidR="00FF735E" w:rsidRDefault="00000000">
      <w:r>
        <w:t xml:space="preserve">The purpose of this policy and procedures is to ensure students and academic staff understand how assessments are conducted at the College.  These are the rules and processes that students and academic staff need to follow to carry out assessments correctly and to the same standards across the College.  </w:t>
      </w:r>
    </w:p>
    <w:p w14:paraId="535A2306" w14:textId="77777777" w:rsidR="00FF735E" w:rsidRDefault="00FF735E"/>
    <w:p w14:paraId="43FE7452" w14:textId="77777777" w:rsidR="00FF735E" w:rsidRDefault="00000000">
      <w:r>
        <w:t xml:space="preserve">The policy includes information on setting activities or tasks, meeting deadlines, what happens when deadlines are not met, marking and verification (moderation) of assessments and giving feedback with grades to students.  It also includes information on Assessment </w:t>
      </w:r>
      <w:proofErr w:type="gramStart"/>
      <w:r>
        <w:t>Boards,</w:t>
      </w:r>
      <w:proofErr w:type="gramEnd"/>
      <w:r>
        <w:t xml:space="preserve"> how overall grades are decided and what happens if a student does not pass.</w:t>
      </w:r>
    </w:p>
    <w:p w14:paraId="13C15126" w14:textId="77777777" w:rsidR="00FF735E" w:rsidRDefault="00FF735E"/>
    <w:p w14:paraId="7A52CCBC" w14:textId="77777777" w:rsidR="00FF735E" w:rsidRDefault="00000000">
      <w:r>
        <w:t xml:space="preserve">The information below outlines the assessment guidelines, which are the procedures and criteria that students and faculty must adhere to </w:t>
      </w:r>
      <w:proofErr w:type="gramStart"/>
      <w:r>
        <w:t>in order to</w:t>
      </w:r>
      <w:proofErr w:type="gramEnd"/>
      <w:r>
        <w:t xml:space="preserve"> conduct assessments accurately and consistently. </w:t>
      </w:r>
    </w:p>
    <w:p w14:paraId="55852F66" w14:textId="77777777" w:rsidR="00FF735E" w:rsidRDefault="00FF735E"/>
    <w:p w14:paraId="7178337E" w14:textId="77777777" w:rsidR="00FF735E" w:rsidRDefault="00000000">
      <w:r>
        <w:t>This policy should be read alongside the Pearson awarding organisation policy on assessments for BTEC HND in Business and the ATHE awarding organisation policy on assessments for ATHE Extended Diploma in Business and Management Level 4</w:t>
      </w:r>
    </w:p>
    <w:p w14:paraId="2B5C6801" w14:textId="77777777" w:rsidR="00FF735E" w:rsidRDefault="00FF735E"/>
    <w:p w14:paraId="130EB22D" w14:textId="77777777" w:rsidR="00FF735E" w:rsidRDefault="00FF735E"/>
    <w:p w14:paraId="35D62A96" w14:textId="77777777" w:rsidR="00FF735E" w:rsidRDefault="00000000">
      <w:pPr>
        <w:pStyle w:val="Heading1"/>
      </w:pPr>
      <w:bookmarkStart w:id="1" w:name="_heading=h.30j0zll" w:colFirst="0" w:colLast="0"/>
      <w:bookmarkEnd w:id="1"/>
      <w:r>
        <w:t>Scope</w:t>
      </w:r>
    </w:p>
    <w:p w14:paraId="742C85D8" w14:textId="77777777" w:rsidR="00FF735E" w:rsidRDefault="00FF735E"/>
    <w:p w14:paraId="6B17A900" w14:textId="77777777" w:rsidR="00FF735E" w:rsidRDefault="00000000">
      <w:r>
        <w:t>This policy covers all types of assessment for all courses delivered by Trent Education Centre (TEC).  Programmes of study (courses) currently planned include the</w:t>
      </w:r>
      <w:r>
        <w:rPr>
          <w:color w:val="000000"/>
        </w:rPr>
        <w:t xml:space="preserve"> following courses:</w:t>
      </w:r>
    </w:p>
    <w:p w14:paraId="05BB56AC" w14:textId="77777777" w:rsidR="00FF735E" w:rsidRDefault="00FF735E"/>
    <w:p w14:paraId="7EF8A6B9" w14:textId="77777777" w:rsidR="00FF735E" w:rsidRDefault="00000000">
      <w:proofErr w:type="gramStart"/>
      <w:r>
        <w:t>TEC  College</w:t>
      </w:r>
      <w:proofErr w:type="gramEnd"/>
      <w:r>
        <w:t xml:space="preserve"> courses</w:t>
      </w:r>
    </w:p>
    <w:p w14:paraId="242107C9" w14:textId="77777777" w:rsidR="00FF735E" w:rsidRDefault="00000000">
      <w:pPr>
        <w:numPr>
          <w:ilvl w:val="0"/>
          <w:numId w:val="8"/>
        </w:numPr>
        <w:pBdr>
          <w:top w:val="nil"/>
          <w:left w:val="nil"/>
          <w:bottom w:val="nil"/>
          <w:right w:val="nil"/>
          <w:between w:val="nil"/>
        </w:pBdr>
      </w:pPr>
      <w:r>
        <w:rPr>
          <w:color w:val="000000"/>
        </w:rPr>
        <w:t>Pearson BTEC Higher National Diploma (HND) in Business Level 4/5</w:t>
      </w:r>
    </w:p>
    <w:p w14:paraId="2234782C" w14:textId="77777777" w:rsidR="00FF735E" w:rsidRDefault="00000000">
      <w:pPr>
        <w:numPr>
          <w:ilvl w:val="0"/>
          <w:numId w:val="8"/>
        </w:numPr>
        <w:pBdr>
          <w:top w:val="nil"/>
          <w:left w:val="nil"/>
          <w:bottom w:val="nil"/>
          <w:right w:val="nil"/>
          <w:between w:val="nil"/>
        </w:pBdr>
      </w:pPr>
      <w:r>
        <w:rPr>
          <w:color w:val="000000"/>
        </w:rPr>
        <w:t>ATHE Extended Diploma in Business Management Level 4</w:t>
      </w:r>
    </w:p>
    <w:p w14:paraId="51F2F4C5" w14:textId="77777777" w:rsidR="00FF735E" w:rsidRDefault="00FF735E"/>
    <w:p w14:paraId="70A4F9A9" w14:textId="77777777" w:rsidR="00FF735E" w:rsidRDefault="00000000">
      <w:pPr>
        <w:rPr>
          <w:b/>
          <w:sz w:val="28"/>
          <w:szCs w:val="28"/>
        </w:rPr>
      </w:pPr>
      <w:r>
        <w:br w:type="page"/>
      </w:r>
    </w:p>
    <w:p w14:paraId="040ACF45" w14:textId="77777777" w:rsidR="00FF735E" w:rsidRDefault="00000000">
      <w:pPr>
        <w:pStyle w:val="Heading1"/>
      </w:pPr>
      <w:bookmarkStart w:id="2" w:name="_heading=h.1fob9te" w:colFirst="0" w:colLast="0"/>
      <w:bookmarkEnd w:id="2"/>
      <w:r>
        <w:lastRenderedPageBreak/>
        <w:t>Aims and Objectives</w:t>
      </w:r>
    </w:p>
    <w:p w14:paraId="2DBE3BBF" w14:textId="77777777" w:rsidR="00FF735E" w:rsidRDefault="00FF735E"/>
    <w:p w14:paraId="7606D245" w14:textId="77777777" w:rsidR="00FF735E" w:rsidRDefault="00000000">
      <w:r>
        <w:t>The College aims to ensure that assessment procedures carried out at the college:</w:t>
      </w:r>
    </w:p>
    <w:p w14:paraId="7EBD90A2" w14:textId="77777777" w:rsidR="00FF735E" w:rsidRDefault="00FF735E"/>
    <w:p w14:paraId="49628286" w14:textId="77777777" w:rsidR="00FF735E" w:rsidRDefault="00000000">
      <w:pPr>
        <w:numPr>
          <w:ilvl w:val="0"/>
          <w:numId w:val="2"/>
        </w:numPr>
        <w:pBdr>
          <w:top w:val="nil"/>
          <w:left w:val="nil"/>
          <w:bottom w:val="nil"/>
          <w:right w:val="nil"/>
          <w:between w:val="nil"/>
        </w:pBdr>
        <w:rPr>
          <w:color w:val="000000"/>
        </w:rPr>
      </w:pPr>
      <w:r>
        <w:rPr>
          <w:color w:val="000000"/>
        </w:rPr>
        <w:t xml:space="preserve">Are presented clearly so </w:t>
      </w:r>
      <w:proofErr w:type="gramStart"/>
      <w:r>
        <w:rPr>
          <w:color w:val="000000"/>
        </w:rPr>
        <w:t>that  all</w:t>
      </w:r>
      <w:proofErr w:type="gramEnd"/>
      <w:r>
        <w:rPr>
          <w:color w:val="000000"/>
        </w:rPr>
        <w:t xml:space="preserve"> students and academic staff can understand and follow them</w:t>
      </w:r>
    </w:p>
    <w:p w14:paraId="63362944" w14:textId="77777777" w:rsidR="00FF735E" w:rsidRDefault="00000000">
      <w:pPr>
        <w:numPr>
          <w:ilvl w:val="0"/>
          <w:numId w:val="2"/>
        </w:numPr>
        <w:pBdr>
          <w:top w:val="nil"/>
          <w:left w:val="nil"/>
          <w:bottom w:val="nil"/>
          <w:right w:val="nil"/>
          <w:between w:val="nil"/>
        </w:pBdr>
        <w:rPr>
          <w:color w:val="000000"/>
        </w:rPr>
      </w:pPr>
      <w:r>
        <w:rPr>
          <w:color w:val="000000"/>
        </w:rPr>
        <w:t>Meet external bodies requirements where relevant including Pearson and ATHE</w:t>
      </w:r>
    </w:p>
    <w:p w14:paraId="2FDA06B2" w14:textId="77777777" w:rsidR="00FF735E" w:rsidRDefault="00000000">
      <w:pPr>
        <w:numPr>
          <w:ilvl w:val="0"/>
          <w:numId w:val="2"/>
        </w:numPr>
        <w:pBdr>
          <w:top w:val="nil"/>
          <w:left w:val="nil"/>
          <w:bottom w:val="nil"/>
          <w:right w:val="nil"/>
          <w:between w:val="nil"/>
        </w:pBdr>
        <w:rPr>
          <w:color w:val="000000"/>
        </w:rPr>
      </w:pPr>
      <w:r>
        <w:rPr>
          <w:color w:val="000000"/>
        </w:rPr>
        <w:t>Enable students to develop the academic and employability skills they need at the appropriate standard and quality</w:t>
      </w:r>
    </w:p>
    <w:p w14:paraId="5A3FB134" w14:textId="77777777" w:rsidR="00FF735E" w:rsidRDefault="00FF735E"/>
    <w:p w14:paraId="587E1039" w14:textId="77777777" w:rsidR="00FF735E" w:rsidRDefault="00000000">
      <w:r>
        <w:t>The guiding principles of the core practices for Higher Education have informed the key objectives of this policy and procedures as follows:</w:t>
      </w:r>
    </w:p>
    <w:p w14:paraId="77414FF7" w14:textId="77777777" w:rsidR="00FF735E" w:rsidRDefault="00FF735E"/>
    <w:p w14:paraId="1FA5C133" w14:textId="77777777" w:rsidR="00FF735E" w:rsidRDefault="00000000">
      <w:pPr>
        <w:numPr>
          <w:ilvl w:val="0"/>
          <w:numId w:val="3"/>
        </w:numPr>
        <w:pBdr>
          <w:top w:val="nil"/>
          <w:left w:val="nil"/>
          <w:bottom w:val="nil"/>
          <w:right w:val="nil"/>
          <w:between w:val="nil"/>
        </w:pBdr>
        <w:rPr>
          <w:color w:val="000000"/>
        </w:rPr>
      </w:pPr>
      <w:r>
        <w:rPr>
          <w:color w:val="000000"/>
        </w:rPr>
        <w:t xml:space="preserve">Assessment criteria </w:t>
      </w:r>
      <w:proofErr w:type="gramStart"/>
      <w:r>
        <w:rPr>
          <w:color w:val="000000"/>
        </w:rPr>
        <w:t>is</w:t>
      </w:r>
      <w:proofErr w:type="gramEnd"/>
      <w:r>
        <w:rPr>
          <w:color w:val="000000"/>
        </w:rPr>
        <w:t xml:space="preserve"> determined according to the achievement of learning outcomes </w:t>
      </w:r>
    </w:p>
    <w:p w14:paraId="34F18EC8" w14:textId="77777777" w:rsidR="00FF735E" w:rsidRDefault="00000000">
      <w:pPr>
        <w:numPr>
          <w:ilvl w:val="0"/>
          <w:numId w:val="3"/>
        </w:numPr>
        <w:pBdr>
          <w:top w:val="nil"/>
          <w:left w:val="nil"/>
          <w:bottom w:val="nil"/>
          <w:right w:val="nil"/>
          <w:between w:val="nil"/>
        </w:pBdr>
        <w:rPr>
          <w:color w:val="000000"/>
        </w:rPr>
      </w:pPr>
      <w:r>
        <w:rPr>
          <w:color w:val="000000"/>
        </w:rPr>
        <w:t>Students have all the information and support they need to do their assessments</w:t>
      </w:r>
    </w:p>
    <w:p w14:paraId="31FF4C8C" w14:textId="77777777" w:rsidR="00FF735E" w:rsidRDefault="00000000">
      <w:pPr>
        <w:numPr>
          <w:ilvl w:val="0"/>
          <w:numId w:val="3"/>
        </w:numPr>
        <w:pBdr>
          <w:top w:val="nil"/>
          <w:left w:val="nil"/>
          <w:bottom w:val="nil"/>
          <w:right w:val="nil"/>
          <w:between w:val="nil"/>
        </w:pBdr>
        <w:rPr>
          <w:color w:val="000000"/>
        </w:rPr>
      </w:pPr>
      <w:r>
        <w:rPr>
          <w:color w:val="000000"/>
        </w:rPr>
        <w:t>Assessments meet the academic and employability needs of students</w:t>
      </w:r>
    </w:p>
    <w:p w14:paraId="2A28720C" w14:textId="77777777" w:rsidR="00FF735E" w:rsidRDefault="00000000">
      <w:pPr>
        <w:numPr>
          <w:ilvl w:val="0"/>
          <w:numId w:val="3"/>
        </w:numPr>
        <w:pBdr>
          <w:top w:val="nil"/>
          <w:left w:val="nil"/>
          <w:bottom w:val="nil"/>
          <w:right w:val="nil"/>
          <w:between w:val="nil"/>
        </w:pBdr>
        <w:rPr>
          <w:color w:val="000000"/>
        </w:rPr>
      </w:pPr>
      <w:r>
        <w:rPr>
          <w:color w:val="000000"/>
        </w:rPr>
        <w:t>Assessments are reliable, valid and consisted ensuring that they can be trusted and that the same standards are applied for every student</w:t>
      </w:r>
    </w:p>
    <w:p w14:paraId="6CAC125E" w14:textId="77777777" w:rsidR="00FF735E" w:rsidRDefault="00000000">
      <w:pPr>
        <w:numPr>
          <w:ilvl w:val="0"/>
          <w:numId w:val="3"/>
        </w:numPr>
        <w:pBdr>
          <w:top w:val="nil"/>
          <w:left w:val="nil"/>
          <w:bottom w:val="nil"/>
          <w:right w:val="nil"/>
          <w:between w:val="nil"/>
        </w:pBdr>
        <w:rPr>
          <w:color w:val="000000"/>
        </w:rPr>
      </w:pPr>
      <w:r>
        <w:rPr>
          <w:color w:val="000000"/>
        </w:rPr>
        <w:t xml:space="preserve">Assessments are equitable, which means that reasonable adjustments are considered for disabled students or those with learning </w:t>
      </w:r>
      <w:proofErr w:type="gramStart"/>
      <w:r>
        <w:rPr>
          <w:color w:val="000000"/>
        </w:rPr>
        <w:t>difficulties</w:t>
      </w:r>
      <w:proofErr w:type="gramEnd"/>
      <w:r>
        <w:rPr>
          <w:color w:val="000000"/>
        </w:rPr>
        <w:t xml:space="preserve"> so they are not placed at a disadvantage to other students</w:t>
      </w:r>
    </w:p>
    <w:p w14:paraId="2049A273" w14:textId="77777777" w:rsidR="00FF735E" w:rsidRDefault="00000000">
      <w:pPr>
        <w:numPr>
          <w:ilvl w:val="0"/>
          <w:numId w:val="3"/>
        </w:numPr>
        <w:pBdr>
          <w:top w:val="nil"/>
          <w:left w:val="nil"/>
          <w:bottom w:val="nil"/>
          <w:right w:val="nil"/>
          <w:between w:val="nil"/>
        </w:pBdr>
        <w:rPr>
          <w:color w:val="000000"/>
        </w:rPr>
      </w:pPr>
      <w:r>
        <w:rPr>
          <w:color w:val="000000"/>
        </w:rPr>
        <w:t>The overall performance and understanding of students are assessed using a holistic approach</w:t>
      </w:r>
    </w:p>
    <w:p w14:paraId="43E9EAD2" w14:textId="77777777" w:rsidR="00FF735E" w:rsidRDefault="00000000">
      <w:pPr>
        <w:numPr>
          <w:ilvl w:val="0"/>
          <w:numId w:val="3"/>
        </w:numPr>
        <w:pBdr>
          <w:top w:val="nil"/>
          <w:left w:val="nil"/>
          <w:bottom w:val="nil"/>
          <w:right w:val="nil"/>
          <w:between w:val="nil"/>
        </w:pBdr>
        <w:rPr>
          <w:color w:val="000000"/>
        </w:rPr>
      </w:pPr>
      <w:r>
        <w:rPr>
          <w:color w:val="000000"/>
        </w:rPr>
        <w:t>Students are given clear and constructive feedback which is developmental and informs them what they can do to improve</w:t>
      </w:r>
    </w:p>
    <w:p w14:paraId="7FE25A58" w14:textId="77777777" w:rsidR="00FF735E" w:rsidRDefault="00000000">
      <w:pPr>
        <w:numPr>
          <w:ilvl w:val="0"/>
          <w:numId w:val="3"/>
        </w:numPr>
        <w:pBdr>
          <w:top w:val="nil"/>
          <w:left w:val="nil"/>
          <w:bottom w:val="nil"/>
          <w:right w:val="nil"/>
          <w:between w:val="nil"/>
        </w:pBdr>
        <w:rPr>
          <w:color w:val="000000"/>
        </w:rPr>
      </w:pPr>
      <w:r>
        <w:rPr>
          <w:color w:val="000000"/>
        </w:rPr>
        <w:t>Feedback is provided in a timely manner (within three weeks of submission)</w:t>
      </w:r>
    </w:p>
    <w:p w14:paraId="29B0DCEE" w14:textId="77777777" w:rsidR="00FF735E" w:rsidRDefault="00000000">
      <w:pPr>
        <w:numPr>
          <w:ilvl w:val="0"/>
          <w:numId w:val="3"/>
        </w:numPr>
        <w:pBdr>
          <w:top w:val="nil"/>
          <w:left w:val="nil"/>
          <w:bottom w:val="nil"/>
          <w:right w:val="nil"/>
          <w:between w:val="nil"/>
        </w:pBdr>
        <w:rPr>
          <w:color w:val="000000"/>
        </w:rPr>
      </w:pPr>
      <w:r>
        <w:rPr>
          <w:color w:val="000000"/>
        </w:rPr>
        <w:t xml:space="preserve">Assessments are sampled and internally verified in accordance with a robust internal verification policy.  </w:t>
      </w:r>
    </w:p>
    <w:p w14:paraId="01184CCA" w14:textId="77777777" w:rsidR="00FF735E" w:rsidRDefault="00000000">
      <w:pPr>
        <w:numPr>
          <w:ilvl w:val="0"/>
          <w:numId w:val="3"/>
        </w:numPr>
        <w:pBdr>
          <w:top w:val="nil"/>
          <w:left w:val="nil"/>
          <w:bottom w:val="nil"/>
          <w:right w:val="nil"/>
          <w:between w:val="nil"/>
        </w:pBdr>
        <w:rPr>
          <w:color w:val="000000"/>
        </w:rPr>
      </w:pPr>
      <w:r>
        <w:rPr>
          <w:color w:val="000000"/>
        </w:rPr>
        <w:t>All assessment decisions are submitted to the TEC Assessment Board for ratification twice every year, including within six months of the receipt of Eternal Examination reports</w:t>
      </w:r>
    </w:p>
    <w:p w14:paraId="1C4688F3" w14:textId="77777777" w:rsidR="00FF735E" w:rsidRDefault="00FF735E">
      <w:pPr>
        <w:pBdr>
          <w:top w:val="nil"/>
          <w:left w:val="nil"/>
          <w:bottom w:val="nil"/>
          <w:right w:val="nil"/>
          <w:between w:val="nil"/>
        </w:pBdr>
        <w:ind w:left="720"/>
        <w:rPr>
          <w:color w:val="000000"/>
        </w:rPr>
      </w:pPr>
    </w:p>
    <w:p w14:paraId="59008228" w14:textId="77777777" w:rsidR="00FF735E" w:rsidRDefault="00000000">
      <w:pPr>
        <w:pStyle w:val="Heading1"/>
      </w:pPr>
      <w:bookmarkStart w:id="3" w:name="_heading=h.3znysh7" w:colFirst="0" w:colLast="0"/>
      <w:bookmarkEnd w:id="3"/>
      <w:r>
        <w:t>Definitions</w:t>
      </w:r>
    </w:p>
    <w:p w14:paraId="038E2080" w14:textId="77777777" w:rsidR="00FF735E" w:rsidRDefault="00FF735E"/>
    <w:p w14:paraId="7E816FD7" w14:textId="77777777" w:rsidR="00FF735E" w:rsidRDefault="00000000">
      <w:r>
        <w:t>An assessment is a student's completion of a specific task or activity outlined in an assignment or exam, which is then graded by an assessor to determine the student's proficiency in a particular subject or qualification. Assessments can include both formative and summative activities and tasks in a variety of formats, such as written or practical tasks, and cover coursework or exams.</w:t>
      </w:r>
    </w:p>
    <w:p w14:paraId="46AC84CA" w14:textId="77777777" w:rsidR="00FF735E" w:rsidRDefault="00FF735E"/>
    <w:p w14:paraId="636F129F" w14:textId="77777777" w:rsidR="00FF735E" w:rsidRDefault="00000000">
      <w:pPr>
        <w:pStyle w:val="Heading2"/>
        <w:ind w:left="792" w:hanging="432"/>
      </w:pPr>
      <w:bookmarkStart w:id="4" w:name="_heading=h.2et92p0" w:colFirst="0" w:colLast="0"/>
      <w:bookmarkEnd w:id="4"/>
      <w:r>
        <w:t>Formative Assessment</w:t>
      </w:r>
    </w:p>
    <w:p w14:paraId="372A446A" w14:textId="77777777" w:rsidR="00FF735E" w:rsidRDefault="00FF735E"/>
    <w:p w14:paraId="6B8F6A80" w14:textId="77777777" w:rsidR="00FF735E" w:rsidRDefault="00000000">
      <w:r>
        <w:t>Formative assessment is an evaluation method used by teachers to monitor and assess students' understanding and progress throughout a lesson or unit. It typically involves ongoing feedback and allows teachers to make necessary adjustments to their instruction to better support student learning. Formative assessment can take many forms, such as quizzes, exit tickets, discussions, observations, and written assignments. It is designed to help teachers identify areas where students may be struggling and provide targeted support to help them improve. The feedback provided to the student is only a guide for the students to see how well they are doing and will not count towards their final assessment.  There should be no grade give for formative assessments.</w:t>
      </w:r>
    </w:p>
    <w:p w14:paraId="77F5A217" w14:textId="77777777" w:rsidR="00FF735E" w:rsidRDefault="00FF735E"/>
    <w:p w14:paraId="25583448" w14:textId="77777777" w:rsidR="00FF735E" w:rsidRDefault="00000000">
      <w:pPr>
        <w:pStyle w:val="Heading2"/>
        <w:ind w:left="792" w:hanging="432"/>
      </w:pPr>
      <w:bookmarkStart w:id="5" w:name="_heading=h.tyjcwt" w:colFirst="0" w:colLast="0"/>
      <w:bookmarkEnd w:id="5"/>
      <w:r>
        <w:lastRenderedPageBreak/>
        <w:t>Summative Assessment</w:t>
      </w:r>
    </w:p>
    <w:p w14:paraId="43DA8599" w14:textId="77777777" w:rsidR="00FF735E" w:rsidRDefault="00FF735E"/>
    <w:p w14:paraId="31441773" w14:textId="77777777" w:rsidR="00FF735E" w:rsidRDefault="00000000">
      <w:r>
        <w:t>A summative assessment is the concluding task that a student must complete, either in the form of coursework or an exam, for a specific unit or module they have been studying. Typically, students will complete these assessments at the end of a term or semester, after finishing their studies for that unit. This final assessment must be submitted by a deadline set at the beginning of the term or semester, outlined in the assignment brief that provides instructions on what needs to be done.</w:t>
      </w:r>
    </w:p>
    <w:p w14:paraId="1C445A97" w14:textId="77777777" w:rsidR="00FF735E" w:rsidRDefault="00FF735E"/>
    <w:p w14:paraId="05541519" w14:textId="77777777" w:rsidR="00FF735E" w:rsidRDefault="00000000">
      <w:pPr>
        <w:pStyle w:val="Heading1"/>
      </w:pPr>
      <w:bookmarkStart w:id="6" w:name="_heading=h.3dy6vkm" w:colFirst="0" w:colLast="0"/>
      <w:bookmarkEnd w:id="6"/>
      <w:r>
        <w:t>Assessment Regulations</w:t>
      </w:r>
    </w:p>
    <w:p w14:paraId="05BA0314" w14:textId="77777777" w:rsidR="00FF735E" w:rsidRDefault="00FF735E"/>
    <w:p w14:paraId="4C14C313" w14:textId="77777777" w:rsidR="00FF735E" w:rsidRDefault="00FF735E"/>
    <w:p w14:paraId="538C7B34" w14:textId="77777777" w:rsidR="00FF735E" w:rsidRDefault="00000000">
      <w:pPr>
        <w:pStyle w:val="Heading2"/>
        <w:ind w:left="792" w:hanging="432"/>
      </w:pPr>
      <w:bookmarkStart w:id="7" w:name="_heading=h.1t3h5sf" w:colFirst="0" w:colLast="0"/>
      <w:bookmarkEnd w:id="7"/>
      <w:r>
        <w:t>Deadlines</w:t>
      </w:r>
    </w:p>
    <w:p w14:paraId="4F5F68C9" w14:textId="77777777" w:rsidR="00FF735E" w:rsidRDefault="00FF735E"/>
    <w:p w14:paraId="1A43BA44" w14:textId="77777777" w:rsidR="00FF735E" w:rsidRDefault="00FF735E"/>
    <w:p w14:paraId="334D94FA" w14:textId="77777777" w:rsidR="00FF735E" w:rsidRDefault="00000000">
      <w:r>
        <w:t>Students are required to submit assignments and complete exams by specific deadlines, which are clearly outlined in the assignment briefs at the beginning of each task. These deadlines are also communicated during induction and available on the College's Virtual Learning Environment. In certain circumstances, deadlines may be extended by the Assessment Board, but they will never be moved up, reducing students' preparation time. If an assessment date is pushed back for any reason, students will receive advance notice.</w:t>
      </w:r>
    </w:p>
    <w:p w14:paraId="4258FF3B" w14:textId="77777777" w:rsidR="00FF735E" w:rsidRDefault="00FF735E"/>
    <w:p w14:paraId="6B444E0D" w14:textId="77777777" w:rsidR="00FF735E" w:rsidRDefault="00000000">
      <w:pPr>
        <w:pStyle w:val="Heading2"/>
        <w:ind w:left="792" w:hanging="432"/>
        <w:rPr>
          <w:highlight w:val="white"/>
        </w:rPr>
      </w:pPr>
      <w:bookmarkStart w:id="8" w:name="_heading=h.4d34og8" w:colFirst="0" w:colLast="0"/>
      <w:bookmarkEnd w:id="8"/>
      <w:r>
        <w:rPr>
          <w:highlight w:val="white"/>
        </w:rPr>
        <w:t>Late Submission</w:t>
      </w:r>
    </w:p>
    <w:p w14:paraId="36733DD6" w14:textId="77777777" w:rsidR="00FF735E" w:rsidRDefault="00FF735E"/>
    <w:p w14:paraId="7E1810FB" w14:textId="77777777" w:rsidR="00FF735E" w:rsidRDefault="00FF735E"/>
    <w:p w14:paraId="7C507001" w14:textId="77777777" w:rsidR="00FF735E" w:rsidRDefault="00000000">
      <w:r>
        <w:t>The College will provide a deadline for submitting Assignments for each unit or module. If a learner fails to submit by this deadline, their submission will be considered late if received by the resubmission date (see Resubmissions below). Late submissions will result in a grade being capped at a Pass unless the student can show valid reasons for submitting late.</w:t>
      </w:r>
    </w:p>
    <w:p w14:paraId="34E5DC1C" w14:textId="77777777" w:rsidR="00FF735E" w:rsidRDefault="00FF735E"/>
    <w:p w14:paraId="713A00DA" w14:textId="77777777" w:rsidR="00FF735E" w:rsidRDefault="00000000">
      <w:pPr>
        <w:pStyle w:val="Heading2"/>
        <w:ind w:left="792" w:hanging="432"/>
      </w:pPr>
      <w:bookmarkStart w:id="9" w:name="_heading=h.2s8eyo1" w:colFirst="0" w:colLast="0"/>
      <w:bookmarkEnd w:id="9"/>
      <w:r>
        <w:t>Mitigating Circumstances</w:t>
      </w:r>
    </w:p>
    <w:p w14:paraId="593F8D80" w14:textId="77777777" w:rsidR="00FF735E" w:rsidRDefault="00FF735E"/>
    <w:p w14:paraId="76244D53" w14:textId="77777777" w:rsidR="00FF735E" w:rsidRDefault="00000000">
      <w:r>
        <w:t>If students are unable to meet a deadline, they should contact their Programme Leader before the deadline to request mitigating circumstances. This communication can be done either in writing or through email. They must provide a valid explanation for why they are unable to submit their work on time. Valid reasons may include:</w:t>
      </w:r>
    </w:p>
    <w:p w14:paraId="69B76395" w14:textId="77777777" w:rsidR="00FF735E" w:rsidRDefault="00FF735E"/>
    <w:p w14:paraId="3B7443B0" w14:textId="77777777" w:rsidR="00FF735E" w:rsidRDefault="00000000">
      <w:pPr>
        <w:rPr>
          <w:color w:val="000000"/>
        </w:rPr>
      </w:pPr>
      <w:r>
        <w:rPr>
          <w:color w:val="000000"/>
        </w:rPr>
        <w:t>1. If a student is experiencing a physical or mental health issue, the College may require them to provide documentation from a doctor. Additionally, they may be referred to a Counsellor for assistance.</w:t>
      </w:r>
    </w:p>
    <w:p w14:paraId="76559ABD" w14:textId="77777777" w:rsidR="00FF735E" w:rsidRDefault="00FF735E">
      <w:pPr>
        <w:rPr>
          <w:color w:val="000000"/>
        </w:rPr>
      </w:pPr>
    </w:p>
    <w:p w14:paraId="4D1E42C4" w14:textId="77777777" w:rsidR="00FF735E" w:rsidRDefault="00000000">
      <w:pPr>
        <w:rPr>
          <w:color w:val="000000"/>
        </w:rPr>
      </w:pPr>
      <w:r>
        <w:rPr>
          <w:color w:val="000000"/>
        </w:rPr>
        <w:t>2. If there has been a loss in the student's immediate family, the College will offer support during this difficult time.</w:t>
      </w:r>
    </w:p>
    <w:p w14:paraId="1CF427A8" w14:textId="77777777" w:rsidR="00FF735E" w:rsidRDefault="00FF735E">
      <w:pPr>
        <w:rPr>
          <w:color w:val="000000"/>
        </w:rPr>
      </w:pPr>
    </w:p>
    <w:p w14:paraId="5DA21253" w14:textId="77777777" w:rsidR="00FF735E" w:rsidRDefault="00000000">
      <w:pPr>
        <w:rPr>
          <w:color w:val="000000"/>
        </w:rPr>
      </w:pPr>
      <w:r>
        <w:rPr>
          <w:color w:val="000000"/>
        </w:rPr>
        <w:t>3. For students with disabilities or learning difficulties, the College will provide special accommodations and adjustments as needed.</w:t>
      </w:r>
    </w:p>
    <w:p w14:paraId="2DA5E022" w14:textId="77777777" w:rsidR="00FF735E" w:rsidRDefault="00FF735E">
      <w:pPr>
        <w:rPr>
          <w:color w:val="000000"/>
        </w:rPr>
      </w:pPr>
    </w:p>
    <w:p w14:paraId="4F9433FE" w14:textId="77777777" w:rsidR="00FF735E" w:rsidRDefault="00000000">
      <w:pPr>
        <w:rPr>
          <w:color w:val="000000"/>
        </w:rPr>
      </w:pPr>
      <w:r>
        <w:rPr>
          <w:color w:val="000000"/>
        </w:rPr>
        <w:t>4. In the case of technical difficulties preventing a student from submitting work online, the College will work with them to find a solution.</w:t>
      </w:r>
    </w:p>
    <w:p w14:paraId="039B8798" w14:textId="77777777" w:rsidR="00FF735E" w:rsidRDefault="00FF735E">
      <w:pPr>
        <w:rPr>
          <w:color w:val="000000"/>
        </w:rPr>
      </w:pPr>
    </w:p>
    <w:p w14:paraId="00AD906A" w14:textId="77777777" w:rsidR="00FF735E" w:rsidRDefault="00000000">
      <w:pPr>
        <w:rPr>
          <w:color w:val="000000"/>
        </w:rPr>
      </w:pPr>
      <w:r>
        <w:rPr>
          <w:color w:val="000000"/>
        </w:rPr>
        <w:t>5. If a student is a victim of a crime, the College will provide appropriate support and resources.</w:t>
      </w:r>
    </w:p>
    <w:p w14:paraId="1D89DCD8" w14:textId="77777777" w:rsidR="00FF735E" w:rsidRDefault="00FF735E">
      <w:pPr>
        <w:rPr>
          <w:color w:val="000000"/>
        </w:rPr>
      </w:pPr>
    </w:p>
    <w:p w14:paraId="4CEA15FF" w14:textId="77777777" w:rsidR="00FF735E" w:rsidRDefault="00000000">
      <w:pPr>
        <w:rPr>
          <w:color w:val="000000"/>
        </w:rPr>
      </w:pPr>
      <w:r>
        <w:rPr>
          <w:color w:val="000000"/>
        </w:rPr>
        <w:t>6. If a student unexpectedly becomes responsible for caring for a relative, the College will offer assistance and flexibility to help manage their responsibilities.</w:t>
      </w:r>
    </w:p>
    <w:p w14:paraId="4B5AC093" w14:textId="77777777" w:rsidR="00FF735E" w:rsidRDefault="00FF735E"/>
    <w:p w14:paraId="739A9CF8" w14:textId="77777777" w:rsidR="00FF735E" w:rsidRDefault="00FF735E"/>
    <w:p w14:paraId="0D84C092" w14:textId="77777777" w:rsidR="00FF735E" w:rsidRDefault="00FF735E"/>
    <w:p w14:paraId="38DC58DD" w14:textId="77777777" w:rsidR="00FF735E" w:rsidRDefault="00000000">
      <w:r>
        <w:t>Examples of reasons that are typically not considered valid include:</w:t>
      </w:r>
    </w:p>
    <w:p w14:paraId="7849D61F" w14:textId="77777777" w:rsidR="00FF735E" w:rsidRDefault="00FF735E"/>
    <w:p w14:paraId="43A85A2C" w14:textId="77777777" w:rsidR="00FF735E" w:rsidRDefault="00000000">
      <w:pPr>
        <w:numPr>
          <w:ilvl w:val="0"/>
          <w:numId w:val="8"/>
        </w:numPr>
        <w:pBdr>
          <w:top w:val="nil"/>
          <w:left w:val="nil"/>
          <w:bottom w:val="nil"/>
          <w:right w:val="nil"/>
          <w:between w:val="nil"/>
        </w:pBdr>
      </w:pPr>
      <w:r>
        <w:rPr>
          <w:color w:val="000000"/>
        </w:rPr>
        <w:t>The student being overloaded with work commitments</w:t>
      </w:r>
    </w:p>
    <w:p w14:paraId="2C982E04" w14:textId="77777777" w:rsidR="00FF735E" w:rsidRDefault="00000000">
      <w:pPr>
        <w:numPr>
          <w:ilvl w:val="0"/>
          <w:numId w:val="8"/>
        </w:numPr>
        <w:pBdr>
          <w:top w:val="nil"/>
          <w:left w:val="nil"/>
          <w:bottom w:val="nil"/>
          <w:right w:val="nil"/>
          <w:between w:val="nil"/>
        </w:pBdr>
      </w:pPr>
      <w:r>
        <w:rPr>
          <w:color w:val="000000"/>
        </w:rPr>
        <w:t>The student failing to understand the task and not attending support classes</w:t>
      </w:r>
    </w:p>
    <w:p w14:paraId="652A15BC" w14:textId="77777777" w:rsidR="00FF735E" w:rsidRDefault="00000000">
      <w:pPr>
        <w:numPr>
          <w:ilvl w:val="0"/>
          <w:numId w:val="8"/>
        </w:numPr>
        <w:pBdr>
          <w:top w:val="nil"/>
          <w:left w:val="nil"/>
          <w:bottom w:val="nil"/>
          <w:right w:val="nil"/>
          <w:between w:val="nil"/>
        </w:pBdr>
      </w:pPr>
      <w:r>
        <w:rPr>
          <w:color w:val="000000"/>
        </w:rPr>
        <w:t>The student wanting to travel for personal or professional reasons</w:t>
      </w:r>
    </w:p>
    <w:p w14:paraId="1A90B5AD" w14:textId="77777777" w:rsidR="00FF735E" w:rsidRDefault="00000000">
      <w:pPr>
        <w:numPr>
          <w:ilvl w:val="0"/>
          <w:numId w:val="8"/>
        </w:numPr>
        <w:pBdr>
          <w:top w:val="nil"/>
          <w:left w:val="nil"/>
          <w:bottom w:val="nil"/>
          <w:right w:val="nil"/>
          <w:between w:val="nil"/>
        </w:pBdr>
      </w:pPr>
      <w:r>
        <w:rPr>
          <w:color w:val="000000"/>
        </w:rPr>
        <w:t>The student seeking more time to enhance their work.</w:t>
      </w:r>
    </w:p>
    <w:p w14:paraId="3C96624C" w14:textId="77777777" w:rsidR="00FF735E" w:rsidRDefault="00FF735E"/>
    <w:p w14:paraId="7045DD24" w14:textId="77777777" w:rsidR="00FF735E" w:rsidRDefault="00000000">
      <w:pPr>
        <w:pStyle w:val="Heading2"/>
        <w:ind w:left="792" w:hanging="432"/>
      </w:pPr>
      <w:bookmarkStart w:id="10" w:name="_heading=h.17dp8vu" w:colFirst="0" w:colLast="0"/>
      <w:bookmarkEnd w:id="10"/>
      <w:r>
        <w:t>Feedback on Submissions</w:t>
      </w:r>
    </w:p>
    <w:p w14:paraId="43419E9F" w14:textId="77777777" w:rsidR="00FF735E" w:rsidRDefault="00FF735E"/>
    <w:p w14:paraId="476F0CDB" w14:textId="77777777" w:rsidR="00FF735E" w:rsidRDefault="00000000">
      <w:r>
        <w:t>The College aims to offer students written feedback on all formative and summative assessments that are turned in on time within three weeks. Feedback may be provided within the same timeframe for late or extended deadline submissions, but there could be delays if Tutors/Assessors are unavailable. Group feedback will be given for formative assessments whenever possible to ensure fairness, while individual students will receive personalised and detailed feedback for summative assessments.</w:t>
      </w:r>
    </w:p>
    <w:p w14:paraId="0A4D1843" w14:textId="77777777" w:rsidR="00FF735E" w:rsidRDefault="00FF735E"/>
    <w:p w14:paraId="4AA868A1" w14:textId="77777777" w:rsidR="00FF735E" w:rsidRDefault="00000000">
      <w:pPr>
        <w:pStyle w:val="Heading2"/>
        <w:ind w:left="792" w:hanging="432"/>
      </w:pPr>
      <w:bookmarkStart w:id="11" w:name="_heading=h.3rdcrjn" w:colFirst="0" w:colLast="0"/>
      <w:bookmarkEnd w:id="11"/>
      <w:r>
        <w:t xml:space="preserve">Internal Verification </w:t>
      </w:r>
    </w:p>
    <w:p w14:paraId="39C2BB5C" w14:textId="77777777" w:rsidR="00FF735E" w:rsidRDefault="00FF735E"/>
    <w:p w14:paraId="7E9A8E36" w14:textId="77777777" w:rsidR="00FF735E" w:rsidRDefault="00000000">
      <w:r>
        <w:t>Internal verification consists of providing assessors with feedback on the feedback they have given to students. Following the assessment of submissions, the College undertakes sampling of assessments for internal verification purposes. Each Assessor is assigned an Internal Verifier (IV) or Internal Moderator who reviews a portion of their assessment decisions to verify their accuracy. Internal verification should be conducted for every unit/module assessed, including every square root of them. In cases where there are multiple assessors for a unit/module, an equal number of submissions should be internally verified for each assessor.</w:t>
      </w:r>
    </w:p>
    <w:p w14:paraId="0A4EAD00" w14:textId="77777777" w:rsidR="00FF735E" w:rsidRDefault="00FF735E"/>
    <w:p w14:paraId="074F8463" w14:textId="77777777" w:rsidR="00FF735E" w:rsidRDefault="00000000">
      <w:r>
        <w:t>If the Internal Verifier (IV) has a different opinion on an assessment decision that impacts the student's grade, the assessor can adjust the grade and feedback before sharing it with the student. In case of disagreement between the assessor and IV, the assessment will be escalated to the Lead Internal Verifier (Lead IV) for a final decision. If changes are made to the original assessment decision, the IV or Lead IV must review all assessments conducted by the same assessor for the same module to ensure consistency and accuracy in grading. Refer to the Internal Verification Policy for further information.</w:t>
      </w:r>
    </w:p>
    <w:p w14:paraId="109683F6" w14:textId="77777777" w:rsidR="00FF735E" w:rsidRDefault="00FF735E">
      <w:pPr>
        <w:pStyle w:val="Heading2"/>
      </w:pPr>
    </w:p>
    <w:p w14:paraId="79513E78" w14:textId="77777777" w:rsidR="00FF735E" w:rsidRDefault="00000000">
      <w:pPr>
        <w:pStyle w:val="Heading2"/>
        <w:ind w:left="792" w:hanging="432"/>
      </w:pPr>
      <w:bookmarkStart w:id="12" w:name="_heading=h.26in1rg" w:colFirst="0" w:colLast="0"/>
      <w:bookmarkEnd w:id="12"/>
      <w:r>
        <w:t>External Examination</w:t>
      </w:r>
    </w:p>
    <w:p w14:paraId="3CD67416" w14:textId="77777777" w:rsidR="00FF735E" w:rsidRDefault="00FF735E"/>
    <w:p w14:paraId="0A303874" w14:textId="77777777" w:rsidR="00FF735E" w:rsidRDefault="00000000">
      <w:r>
        <w:t xml:space="preserve">In addition to Internal </w:t>
      </w:r>
      <w:proofErr w:type="gramStart"/>
      <w:r>
        <w:t>Verification,  awarding</w:t>
      </w:r>
      <w:proofErr w:type="gramEnd"/>
      <w:r>
        <w:t xml:space="preserve"> organisations also conduct an external verification process in addition to internal verification. One example is on Pearson HND programs, where external verification is conducted annually by a Pearson External Examiner to ensure that assessment and internal verification decisions are accurate and meet the necessary standards.</w:t>
      </w:r>
    </w:p>
    <w:p w14:paraId="76F2600D" w14:textId="77777777" w:rsidR="00FF735E" w:rsidRDefault="00FF735E"/>
    <w:p w14:paraId="4B5BCF7A" w14:textId="77777777" w:rsidR="00FF735E" w:rsidRDefault="00000000">
      <w:pPr>
        <w:rPr>
          <w:b/>
          <w:sz w:val="24"/>
          <w:szCs w:val="24"/>
        </w:rPr>
      </w:pPr>
      <w:r>
        <w:br w:type="page"/>
      </w:r>
    </w:p>
    <w:p w14:paraId="1C3365CC" w14:textId="77777777" w:rsidR="00FF735E" w:rsidRDefault="00000000">
      <w:pPr>
        <w:pStyle w:val="Heading2"/>
        <w:ind w:left="792" w:hanging="432"/>
      </w:pPr>
      <w:bookmarkStart w:id="13" w:name="_heading=h.lnxbz9" w:colFirst="0" w:colLast="0"/>
      <w:bookmarkEnd w:id="13"/>
      <w:r>
        <w:lastRenderedPageBreak/>
        <w:t>Assessment Board</w:t>
      </w:r>
    </w:p>
    <w:p w14:paraId="7AD4FADA" w14:textId="77777777" w:rsidR="00FF735E" w:rsidRDefault="00000000">
      <w:pPr>
        <w:numPr>
          <w:ilvl w:val="0"/>
          <w:numId w:val="5"/>
        </w:numPr>
        <w:pBdr>
          <w:top w:val="nil"/>
          <w:left w:val="nil"/>
          <w:bottom w:val="nil"/>
          <w:right w:val="nil"/>
          <w:between w:val="nil"/>
        </w:pBdr>
        <w:ind w:left="284" w:hanging="284"/>
        <w:rPr>
          <w:b/>
          <w:color w:val="000000"/>
        </w:rPr>
      </w:pPr>
      <w:r>
        <w:rPr>
          <w:b/>
          <w:color w:val="000000"/>
        </w:rPr>
        <w:t>Overview</w:t>
      </w:r>
    </w:p>
    <w:p w14:paraId="57A882CB" w14:textId="77777777" w:rsidR="00FF735E" w:rsidRDefault="00FF735E">
      <w:pPr>
        <w:pBdr>
          <w:top w:val="nil"/>
          <w:left w:val="nil"/>
          <w:bottom w:val="nil"/>
          <w:right w:val="nil"/>
          <w:between w:val="nil"/>
        </w:pBdr>
        <w:ind w:left="284"/>
        <w:rPr>
          <w:b/>
          <w:color w:val="000000"/>
        </w:rPr>
      </w:pPr>
    </w:p>
    <w:p w14:paraId="76AE7A7D" w14:textId="77777777" w:rsidR="00FF735E" w:rsidRDefault="00000000">
      <w:pPr>
        <w:pBdr>
          <w:top w:val="nil"/>
          <w:left w:val="nil"/>
          <w:bottom w:val="nil"/>
          <w:right w:val="nil"/>
          <w:between w:val="nil"/>
        </w:pBdr>
      </w:pPr>
      <w:r>
        <w:t xml:space="preserve">TEC will hold Assessment Board meetings </w:t>
      </w:r>
      <w:proofErr w:type="gramStart"/>
      <w:r>
        <w:t>in order to</w:t>
      </w:r>
      <w:proofErr w:type="gramEnd"/>
      <w:r>
        <w:t xml:space="preserve"> authorise student results for each awarding organisation.  TEC will hold separate Assessment Board meetings for its Pearson BTEC HND programme and its ATHE programme.   </w:t>
      </w:r>
    </w:p>
    <w:p w14:paraId="1E9DF7F6" w14:textId="77777777" w:rsidR="00FF735E" w:rsidRDefault="00FF735E">
      <w:pPr>
        <w:pBdr>
          <w:top w:val="nil"/>
          <w:left w:val="nil"/>
          <w:bottom w:val="nil"/>
          <w:right w:val="nil"/>
          <w:between w:val="nil"/>
        </w:pBdr>
      </w:pPr>
    </w:p>
    <w:p w14:paraId="2D3E5715" w14:textId="77777777" w:rsidR="00FF735E" w:rsidRDefault="00000000">
      <w:pPr>
        <w:pBdr>
          <w:top w:val="nil"/>
          <w:left w:val="nil"/>
          <w:bottom w:val="nil"/>
          <w:right w:val="nil"/>
          <w:between w:val="nil"/>
        </w:pBdr>
        <w:rPr>
          <w:b/>
          <w:color w:val="000000"/>
        </w:rPr>
      </w:pPr>
      <w:r>
        <w:t xml:space="preserve">The Assessment Board has delegated powers from the Academic Board to make decisions regarding student achievements, awards, progression, mitigating circumstances, academic misconduct and resubmissions.  The Academic Board has overall oversight of the standards and quality of all academic programmes at the College.  The Assessment Board makes recommendations for </w:t>
      </w:r>
      <w:proofErr w:type="gramStart"/>
      <w:r>
        <w:t>the  following</w:t>
      </w:r>
      <w:proofErr w:type="gramEnd"/>
      <w:r>
        <w:t xml:space="preserve"> standing items on its agenda:</w:t>
      </w:r>
    </w:p>
    <w:p w14:paraId="4B9F9BBE" w14:textId="77777777" w:rsidR="00FF735E" w:rsidRDefault="00FF735E"/>
    <w:p w14:paraId="45269D11" w14:textId="77777777" w:rsidR="00FF735E" w:rsidRDefault="00000000">
      <w:pPr>
        <w:numPr>
          <w:ilvl w:val="0"/>
          <w:numId w:val="4"/>
        </w:numPr>
        <w:pBdr>
          <w:top w:val="nil"/>
          <w:left w:val="nil"/>
          <w:bottom w:val="nil"/>
          <w:right w:val="nil"/>
          <w:between w:val="nil"/>
        </w:pBdr>
      </w:pPr>
      <w:r>
        <w:rPr>
          <w:color w:val="000000"/>
        </w:rPr>
        <w:t>The authorised grade for every unit or module of study achieved by each student</w:t>
      </w:r>
    </w:p>
    <w:p w14:paraId="7564753B" w14:textId="77777777" w:rsidR="00FF735E" w:rsidRDefault="00000000">
      <w:pPr>
        <w:numPr>
          <w:ilvl w:val="0"/>
          <w:numId w:val="4"/>
        </w:numPr>
        <w:pBdr>
          <w:top w:val="nil"/>
          <w:left w:val="nil"/>
          <w:bottom w:val="nil"/>
          <w:right w:val="nil"/>
          <w:between w:val="nil"/>
        </w:pBdr>
      </w:pPr>
      <w:r>
        <w:rPr>
          <w:color w:val="000000"/>
        </w:rPr>
        <w:t>Student requests for mitigating circumstances that may have prevented them from submitting adequate work by the published deadline</w:t>
      </w:r>
    </w:p>
    <w:p w14:paraId="29F25365" w14:textId="77777777" w:rsidR="00FF735E" w:rsidRDefault="00000000">
      <w:pPr>
        <w:numPr>
          <w:ilvl w:val="0"/>
          <w:numId w:val="4"/>
        </w:numPr>
        <w:pBdr>
          <w:top w:val="nil"/>
          <w:left w:val="nil"/>
          <w:bottom w:val="nil"/>
          <w:right w:val="nil"/>
          <w:between w:val="nil"/>
        </w:pBdr>
      </w:pPr>
      <w:r>
        <w:rPr>
          <w:color w:val="000000"/>
        </w:rPr>
        <w:t>Cases of academic misconduct including plagiarism or other forms of cheating</w:t>
      </w:r>
    </w:p>
    <w:p w14:paraId="50760004" w14:textId="77777777" w:rsidR="00FF735E" w:rsidRDefault="00000000">
      <w:pPr>
        <w:numPr>
          <w:ilvl w:val="0"/>
          <w:numId w:val="4"/>
        </w:numPr>
        <w:pBdr>
          <w:top w:val="nil"/>
          <w:left w:val="nil"/>
          <w:bottom w:val="nil"/>
          <w:right w:val="nil"/>
          <w:between w:val="nil"/>
        </w:pBdr>
      </w:pPr>
      <w:r>
        <w:rPr>
          <w:color w:val="000000"/>
        </w:rPr>
        <w:t>Progression of students to the next level or year of study e.g. from HNC to HND</w:t>
      </w:r>
    </w:p>
    <w:p w14:paraId="59EB6761" w14:textId="77777777" w:rsidR="00FF735E" w:rsidRDefault="00000000">
      <w:pPr>
        <w:numPr>
          <w:ilvl w:val="0"/>
          <w:numId w:val="4"/>
        </w:numPr>
        <w:pBdr>
          <w:top w:val="nil"/>
          <w:left w:val="nil"/>
          <w:bottom w:val="nil"/>
          <w:right w:val="nil"/>
          <w:between w:val="nil"/>
        </w:pBdr>
      </w:pPr>
      <w:r>
        <w:rPr>
          <w:color w:val="000000"/>
        </w:rPr>
        <w:t>Conferment of awards to students</w:t>
      </w:r>
    </w:p>
    <w:p w14:paraId="36E9CA7B" w14:textId="77777777" w:rsidR="00FF735E" w:rsidRDefault="00000000">
      <w:pPr>
        <w:numPr>
          <w:ilvl w:val="0"/>
          <w:numId w:val="4"/>
        </w:numPr>
        <w:pBdr>
          <w:top w:val="nil"/>
          <w:left w:val="nil"/>
          <w:bottom w:val="nil"/>
          <w:right w:val="nil"/>
          <w:between w:val="nil"/>
        </w:pBdr>
      </w:pPr>
      <w:bookmarkStart w:id="14" w:name="_heading=h.1hmsyys" w:colFirst="0" w:colLast="0"/>
      <w:bookmarkEnd w:id="14"/>
      <w:r>
        <w:rPr>
          <w:color w:val="000000"/>
        </w:rPr>
        <w:t>Referrals, deferrals or resubmissions</w:t>
      </w:r>
    </w:p>
    <w:p w14:paraId="4209AD25" w14:textId="77777777" w:rsidR="00FF735E" w:rsidRDefault="00000000">
      <w:pPr>
        <w:numPr>
          <w:ilvl w:val="0"/>
          <w:numId w:val="4"/>
        </w:numPr>
        <w:pBdr>
          <w:top w:val="nil"/>
          <w:left w:val="nil"/>
          <w:bottom w:val="nil"/>
          <w:right w:val="nil"/>
          <w:between w:val="nil"/>
        </w:pBdr>
      </w:pPr>
      <w:r>
        <w:rPr>
          <w:color w:val="000000"/>
        </w:rPr>
        <w:t>Monitoring of standardisation meetings and internal verification processes and decisions to ensure that academic standards and quality are maintained</w:t>
      </w:r>
    </w:p>
    <w:p w14:paraId="084443D4" w14:textId="77777777" w:rsidR="00FF735E" w:rsidRDefault="00FF735E"/>
    <w:p w14:paraId="3DEAD842" w14:textId="77777777" w:rsidR="00FF735E" w:rsidRDefault="00000000">
      <w:pPr>
        <w:rPr>
          <w:b/>
          <w:color w:val="000000"/>
        </w:rPr>
      </w:pPr>
      <w:r>
        <w:br w:type="page"/>
      </w:r>
    </w:p>
    <w:p w14:paraId="75773750" w14:textId="77777777" w:rsidR="00FF735E" w:rsidRDefault="00000000">
      <w:pPr>
        <w:numPr>
          <w:ilvl w:val="0"/>
          <w:numId w:val="5"/>
        </w:numPr>
        <w:pBdr>
          <w:top w:val="nil"/>
          <w:left w:val="nil"/>
          <w:bottom w:val="nil"/>
          <w:right w:val="nil"/>
          <w:between w:val="nil"/>
        </w:pBdr>
        <w:ind w:left="284" w:hanging="284"/>
        <w:rPr>
          <w:b/>
          <w:color w:val="000000"/>
        </w:rPr>
      </w:pPr>
      <w:r>
        <w:rPr>
          <w:b/>
          <w:color w:val="000000"/>
        </w:rPr>
        <w:lastRenderedPageBreak/>
        <w:t>Timings and Frequency of Assessment Board Meetings</w:t>
      </w:r>
    </w:p>
    <w:p w14:paraId="7991E202" w14:textId="77777777" w:rsidR="00FF735E" w:rsidRDefault="00FF735E">
      <w:pPr>
        <w:pBdr>
          <w:top w:val="nil"/>
          <w:left w:val="nil"/>
          <w:bottom w:val="nil"/>
          <w:right w:val="nil"/>
          <w:between w:val="nil"/>
        </w:pBdr>
        <w:rPr>
          <w:b/>
          <w:color w:val="000000"/>
        </w:rPr>
      </w:pPr>
    </w:p>
    <w:p w14:paraId="6C9860C8" w14:textId="77777777" w:rsidR="00FF735E" w:rsidRDefault="00000000">
      <w:pPr>
        <w:pBdr>
          <w:top w:val="nil"/>
          <w:left w:val="nil"/>
          <w:bottom w:val="nil"/>
          <w:right w:val="nil"/>
          <w:between w:val="nil"/>
        </w:pBdr>
        <w:rPr>
          <w:color w:val="000000"/>
        </w:rPr>
      </w:pPr>
      <w:r>
        <w:rPr>
          <w:color w:val="000000"/>
        </w:rPr>
        <w:t xml:space="preserve">The TEC HND/ATHE L4 &amp; 5 Assessment Plan Template below shows the timings and frequency of Assessment Boards each Semester for L4 &amp; L5.  The Assessment Board meets twice a year for the ATHE programme and twice a year for the Pearson BTEC HND programmes. This includes an </w:t>
      </w:r>
      <w:r>
        <w:rPr>
          <w:b/>
          <w:color w:val="000000"/>
        </w:rPr>
        <w:t>Intermediate Assessment Board</w:t>
      </w:r>
      <w:r>
        <w:rPr>
          <w:color w:val="000000"/>
        </w:rPr>
        <w:t xml:space="preserve"> after the end of the first Semester in week 19 (excluding holidays) and an </w:t>
      </w:r>
      <w:r>
        <w:rPr>
          <w:b/>
          <w:color w:val="000000"/>
        </w:rPr>
        <w:t>End of Session Assessment Board</w:t>
      </w:r>
      <w:r>
        <w:rPr>
          <w:color w:val="000000"/>
        </w:rPr>
        <w:t xml:space="preserve"> after the end of the second Semester in week 22.  The End of Session Assessment Board is held after the External Examiner (EE) visit which is planned for week 20 in the second semester, two weeks before the Assessment Board, which allows time to receive the EE report.</w:t>
      </w:r>
    </w:p>
    <w:p w14:paraId="2CC5D4D0" w14:textId="77777777" w:rsidR="00FF735E" w:rsidRDefault="00FF735E">
      <w:pPr>
        <w:pBdr>
          <w:top w:val="nil"/>
          <w:left w:val="nil"/>
          <w:bottom w:val="nil"/>
          <w:right w:val="nil"/>
          <w:between w:val="nil"/>
        </w:pBdr>
        <w:rPr>
          <w:color w:val="000000"/>
        </w:rPr>
      </w:pPr>
    </w:p>
    <w:p w14:paraId="3C8208A7" w14:textId="77777777" w:rsidR="00FF735E" w:rsidRDefault="00000000">
      <w:pPr>
        <w:pBdr>
          <w:top w:val="nil"/>
          <w:left w:val="nil"/>
          <w:bottom w:val="nil"/>
          <w:right w:val="nil"/>
          <w:between w:val="nil"/>
        </w:pBdr>
        <w:rPr>
          <w:color w:val="000000"/>
        </w:rPr>
      </w:pPr>
      <w:r>
        <w:rPr>
          <w:color w:val="000000"/>
        </w:rPr>
        <w:t>The programme leader has delegated powers from the Assessment Board to provide feedback and provisional grades to students following internal verification of work submitted for units in the middle of the Semester (usually week 8).  Typically, for a 16-week Semester, students will receive feedback and provisional grades in week 11 for units that have been submitted in week 8.  These provisional grades are authorised (ratified) retrospectively by the Assessment Board in week 19, along with grades for the units that are submitted in week 16.   The Programme Leader also has delegated powers from the Assessment Board to authorise feedback and grades for resubmissions that are provided after the Assessment Board (typically, week 21).  There may also be Reassessment Board meetings called for students repeating a unit or for mitigating circumstances.</w:t>
      </w:r>
    </w:p>
    <w:p w14:paraId="6392C762" w14:textId="77777777" w:rsidR="00FF735E" w:rsidRDefault="00FF735E">
      <w:pPr>
        <w:pBdr>
          <w:top w:val="nil"/>
          <w:left w:val="nil"/>
          <w:bottom w:val="nil"/>
          <w:right w:val="nil"/>
          <w:between w:val="nil"/>
        </w:pBdr>
        <w:ind w:left="284"/>
        <w:rPr>
          <w:b/>
          <w:color w:val="000000"/>
        </w:rPr>
      </w:pPr>
    </w:p>
    <w:p w14:paraId="10F7D6D7" w14:textId="77777777" w:rsidR="00FF735E" w:rsidRDefault="00000000">
      <w:pPr>
        <w:numPr>
          <w:ilvl w:val="0"/>
          <w:numId w:val="5"/>
        </w:numPr>
        <w:pBdr>
          <w:top w:val="nil"/>
          <w:left w:val="nil"/>
          <w:bottom w:val="nil"/>
          <w:right w:val="nil"/>
          <w:between w:val="nil"/>
        </w:pBdr>
        <w:ind w:left="284" w:hanging="284"/>
        <w:rPr>
          <w:b/>
          <w:color w:val="000000"/>
        </w:rPr>
      </w:pPr>
      <w:r>
        <w:rPr>
          <w:b/>
          <w:color w:val="000000"/>
        </w:rPr>
        <w:t>Terms of Reference</w:t>
      </w:r>
    </w:p>
    <w:p w14:paraId="0EF9C096" w14:textId="77777777" w:rsidR="00FF735E" w:rsidRDefault="00FF735E">
      <w:pPr>
        <w:rPr>
          <w:color w:val="000000"/>
        </w:rPr>
      </w:pPr>
    </w:p>
    <w:p w14:paraId="1E5E031A" w14:textId="77777777" w:rsidR="00FF735E" w:rsidRDefault="00000000">
      <w:pPr>
        <w:rPr>
          <w:color w:val="000000"/>
        </w:rPr>
      </w:pPr>
      <w:r>
        <w:rPr>
          <w:color w:val="000000"/>
        </w:rPr>
        <w:t>Like all other Boards and Committees at the College, the Assessment Board has Terms of Reference that include the following information:</w:t>
      </w:r>
    </w:p>
    <w:p w14:paraId="17A9B04C" w14:textId="77777777" w:rsidR="00FF735E" w:rsidRDefault="00FF735E">
      <w:pPr>
        <w:rPr>
          <w:color w:val="000000"/>
        </w:rPr>
      </w:pPr>
    </w:p>
    <w:p w14:paraId="63DD21C2" w14:textId="77777777" w:rsidR="00FF735E" w:rsidRDefault="00000000">
      <w:pPr>
        <w:numPr>
          <w:ilvl w:val="0"/>
          <w:numId w:val="6"/>
        </w:numPr>
        <w:pBdr>
          <w:top w:val="nil"/>
          <w:left w:val="nil"/>
          <w:bottom w:val="nil"/>
          <w:right w:val="nil"/>
          <w:between w:val="nil"/>
        </w:pBdr>
        <w:rPr>
          <w:color w:val="000000"/>
        </w:rPr>
      </w:pPr>
      <w:r>
        <w:rPr>
          <w:color w:val="000000"/>
        </w:rPr>
        <w:t>Purpose of the Assessment Board</w:t>
      </w:r>
    </w:p>
    <w:p w14:paraId="3564FAA0" w14:textId="77777777" w:rsidR="00FF735E" w:rsidRDefault="00000000">
      <w:pPr>
        <w:numPr>
          <w:ilvl w:val="0"/>
          <w:numId w:val="6"/>
        </w:numPr>
        <w:pBdr>
          <w:top w:val="nil"/>
          <w:left w:val="nil"/>
          <w:bottom w:val="nil"/>
          <w:right w:val="nil"/>
          <w:between w:val="nil"/>
        </w:pBdr>
        <w:rPr>
          <w:color w:val="000000"/>
        </w:rPr>
      </w:pPr>
      <w:r>
        <w:rPr>
          <w:color w:val="000000"/>
        </w:rPr>
        <w:t>Whom it reports to</w:t>
      </w:r>
    </w:p>
    <w:p w14:paraId="7DEF9C38" w14:textId="77777777" w:rsidR="00FF735E" w:rsidRDefault="00000000">
      <w:pPr>
        <w:numPr>
          <w:ilvl w:val="0"/>
          <w:numId w:val="6"/>
        </w:numPr>
        <w:pBdr>
          <w:top w:val="nil"/>
          <w:left w:val="nil"/>
          <w:bottom w:val="nil"/>
          <w:right w:val="nil"/>
          <w:between w:val="nil"/>
        </w:pBdr>
        <w:rPr>
          <w:color w:val="000000"/>
        </w:rPr>
      </w:pPr>
      <w:r>
        <w:rPr>
          <w:color w:val="000000"/>
        </w:rPr>
        <w:t>Whom it receives reports from</w:t>
      </w:r>
    </w:p>
    <w:p w14:paraId="6C491736" w14:textId="77777777" w:rsidR="00FF735E" w:rsidRDefault="00000000">
      <w:pPr>
        <w:numPr>
          <w:ilvl w:val="0"/>
          <w:numId w:val="6"/>
        </w:numPr>
        <w:pBdr>
          <w:top w:val="nil"/>
          <w:left w:val="nil"/>
          <w:bottom w:val="nil"/>
          <w:right w:val="nil"/>
          <w:between w:val="nil"/>
        </w:pBdr>
        <w:rPr>
          <w:color w:val="000000"/>
        </w:rPr>
      </w:pPr>
      <w:r>
        <w:rPr>
          <w:color w:val="000000"/>
        </w:rPr>
        <w:t>Membership</w:t>
      </w:r>
    </w:p>
    <w:p w14:paraId="4B0C7105" w14:textId="77777777" w:rsidR="00FF735E" w:rsidRDefault="00000000">
      <w:pPr>
        <w:numPr>
          <w:ilvl w:val="0"/>
          <w:numId w:val="6"/>
        </w:numPr>
        <w:pBdr>
          <w:top w:val="nil"/>
          <w:left w:val="nil"/>
          <w:bottom w:val="nil"/>
          <w:right w:val="nil"/>
          <w:between w:val="nil"/>
        </w:pBdr>
        <w:rPr>
          <w:color w:val="000000"/>
        </w:rPr>
      </w:pPr>
      <w:r>
        <w:rPr>
          <w:color w:val="000000"/>
        </w:rPr>
        <w:t>Quorum</w:t>
      </w:r>
    </w:p>
    <w:p w14:paraId="3758B724" w14:textId="77777777" w:rsidR="00FF735E" w:rsidRDefault="00000000">
      <w:pPr>
        <w:numPr>
          <w:ilvl w:val="0"/>
          <w:numId w:val="6"/>
        </w:numPr>
        <w:pBdr>
          <w:top w:val="nil"/>
          <w:left w:val="nil"/>
          <w:bottom w:val="nil"/>
          <w:right w:val="nil"/>
          <w:between w:val="nil"/>
        </w:pBdr>
        <w:rPr>
          <w:color w:val="000000"/>
        </w:rPr>
      </w:pPr>
      <w:r>
        <w:rPr>
          <w:color w:val="000000"/>
        </w:rPr>
        <w:t>Frequency</w:t>
      </w:r>
    </w:p>
    <w:p w14:paraId="6176B040" w14:textId="77777777" w:rsidR="00FF735E" w:rsidRDefault="00FF735E">
      <w:pPr>
        <w:rPr>
          <w:color w:val="000000"/>
        </w:rPr>
      </w:pPr>
    </w:p>
    <w:p w14:paraId="21546EBA" w14:textId="77777777" w:rsidR="00FF735E" w:rsidRDefault="00000000">
      <w:pPr>
        <w:numPr>
          <w:ilvl w:val="0"/>
          <w:numId w:val="5"/>
        </w:numPr>
        <w:pBdr>
          <w:top w:val="nil"/>
          <w:left w:val="nil"/>
          <w:bottom w:val="nil"/>
          <w:right w:val="nil"/>
          <w:between w:val="nil"/>
        </w:pBdr>
        <w:ind w:left="284" w:hanging="284"/>
        <w:rPr>
          <w:b/>
          <w:color w:val="000000"/>
        </w:rPr>
      </w:pPr>
      <w:r>
        <w:rPr>
          <w:b/>
          <w:color w:val="000000"/>
        </w:rPr>
        <w:t>Results</w:t>
      </w:r>
    </w:p>
    <w:p w14:paraId="3F28A97E" w14:textId="77777777" w:rsidR="00FF735E" w:rsidRDefault="00FF735E">
      <w:pPr>
        <w:rPr>
          <w:color w:val="000000"/>
        </w:rPr>
      </w:pPr>
    </w:p>
    <w:p w14:paraId="15FB0B09" w14:textId="77777777" w:rsidR="00FF735E" w:rsidRDefault="00000000">
      <w:pPr>
        <w:rPr>
          <w:color w:val="000000"/>
        </w:rPr>
      </w:pPr>
      <w:r>
        <w:rPr>
          <w:color w:val="000000"/>
        </w:rPr>
        <w:t xml:space="preserve">Students receive provisional feedback and grades through feedback forms provided by their Tutor/Assessor after passing internal verification and gaining authorisation from the Programme Leader or the Assessment Board.  Students are informed in-person and by email that all grades are provisional and require ratification by the External Examiner and the TEC End of Session Assessment Board after the second semester ends before they are final.  All provisional grades may be subject to amendments.   Student are informed in grading sheets if their grades are provisional or final.  If they are provisional. Students are informed when   the EE visit will take place and when </w:t>
      </w:r>
      <w:proofErr w:type="gramStart"/>
      <w:r>
        <w:rPr>
          <w:color w:val="000000"/>
        </w:rPr>
        <w:t>the  Assessment</w:t>
      </w:r>
      <w:proofErr w:type="gramEnd"/>
      <w:r>
        <w:rPr>
          <w:color w:val="000000"/>
        </w:rPr>
        <w:t xml:space="preserve"> Committee will </w:t>
      </w:r>
      <w:proofErr w:type="gramStart"/>
      <w:r>
        <w:rPr>
          <w:color w:val="000000"/>
        </w:rPr>
        <w:t>be  able</w:t>
      </w:r>
      <w:proofErr w:type="gramEnd"/>
      <w:r>
        <w:rPr>
          <w:color w:val="000000"/>
        </w:rPr>
        <w:t xml:space="preserve"> to provide final ratification of grades awarded.</w:t>
      </w:r>
    </w:p>
    <w:p w14:paraId="5AE31DF4" w14:textId="77777777" w:rsidR="00FF735E" w:rsidRDefault="00FF735E">
      <w:pPr>
        <w:rPr>
          <w:color w:val="000000"/>
        </w:rPr>
      </w:pPr>
    </w:p>
    <w:p w14:paraId="5600F0A2" w14:textId="77777777" w:rsidR="00FF735E" w:rsidRDefault="00000000">
      <w:pPr>
        <w:numPr>
          <w:ilvl w:val="0"/>
          <w:numId w:val="5"/>
        </w:numPr>
        <w:pBdr>
          <w:top w:val="nil"/>
          <w:left w:val="nil"/>
          <w:bottom w:val="nil"/>
          <w:right w:val="nil"/>
          <w:between w:val="nil"/>
        </w:pBdr>
        <w:ind w:left="284" w:hanging="284"/>
        <w:rPr>
          <w:b/>
          <w:color w:val="000000"/>
        </w:rPr>
      </w:pPr>
      <w:r>
        <w:rPr>
          <w:b/>
          <w:color w:val="000000"/>
        </w:rPr>
        <w:t>Appeals and Complaints</w:t>
      </w:r>
    </w:p>
    <w:p w14:paraId="7D1C4C44" w14:textId="77777777" w:rsidR="00FF735E" w:rsidRDefault="00FF735E">
      <w:pPr>
        <w:rPr>
          <w:color w:val="000000"/>
        </w:rPr>
      </w:pPr>
    </w:p>
    <w:p w14:paraId="41A6CF9A" w14:textId="77777777" w:rsidR="00FF735E" w:rsidRDefault="00000000">
      <w:pPr>
        <w:rPr>
          <w:color w:val="000000"/>
        </w:rPr>
        <w:sectPr w:rsidR="00FF735E">
          <w:headerReference w:type="default" r:id="rId9"/>
          <w:footerReference w:type="default" r:id="rId10"/>
          <w:headerReference w:type="first" r:id="rId11"/>
          <w:footerReference w:type="first" r:id="rId12"/>
          <w:pgSz w:w="11900" w:h="16840"/>
          <w:pgMar w:top="993" w:right="1268" w:bottom="1985" w:left="1560" w:header="708" w:footer="345" w:gutter="0"/>
          <w:pgNumType w:start="1"/>
          <w:cols w:space="720"/>
          <w:titlePg/>
        </w:sectPr>
      </w:pPr>
      <w:r>
        <w:rPr>
          <w:color w:val="000000"/>
        </w:rPr>
        <w:t xml:space="preserve">Student will have an opportunity to lodge an appeal   or </w:t>
      </w:r>
      <w:proofErr w:type="gramStart"/>
      <w:r>
        <w:rPr>
          <w:color w:val="000000"/>
        </w:rPr>
        <w:t>complaint  after</w:t>
      </w:r>
      <w:proofErr w:type="gramEnd"/>
      <w:r>
        <w:rPr>
          <w:color w:val="000000"/>
        </w:rPr>
        <w:t xml:space="preserve"> </w:t>
      </w:r>
      <w:proofErr w:type="gramStart"/>
      <w:r>
        <w:rPr>
          <w:color w:val="000000"/>
        </w:rPr>
        <w:t>receiving  their</w:t>
      </w:r>
      <w:proofErr w:type="gramEnd"/>
      <w:r>
        <w:rPr>
          <w:color w:val="000000"/>
        </w:rPr>
        <w:t xml:space="preserve"> </w:t>
      </w:r>
      <w:proofErr w:type="gramStart"/>
      <w:r>
        <w:rPr>
          <w:color w:val="000000"/>
        </w:rPr>
        <w:t>final results</w:t>
      </w:r>
      <w:proofErr w:type="gramEnd"/>
      <w:r>
        <w:rPr>
          <w:color w:val="000000"/>
        </w:rPr>
        <w:t xml:space="preserve">.     Refer to the Student Complaints and </w:t>
      </w:r>
      <w:proofErr w:type="gramStart"/>
      <w:r>
        <w:rPr>
          <w:color w:val="000000"/>
        </w:rPr>
        <w:t>Appeals  Policy</w:t>
      </w:r>
      <w:proofErr w:type="gramEnd"/>
      <w:r>
        <w:rPr>
          <w:color w:val="000000"/>
        </w:rPr>
        <w:t xml:space="preserve"> and Academic the Appeals policies on the TEC website for more information on lodging a complaint and appeal.</w:t>
      </w:r>
    </w:p>
    <w:p w14:paraId="37772D60" w14:textId="77777777" w:rsidR="00FF735E" w:rsidRDefault="00000000">
      <w:pPr>
        <w:pBdr>
          <w:top w:val="nil"/>
          <w:left w:val="nil"/>
          <w:bottom w:val="nil"/>
          <w:right w:val="nil"/>
          <w:between w:val="nil"/>
        </w:pBdr>
        <w:ind w:left="-1418"/>
        <w:rPr>
          <w:b/>
          <w:color w:val="000000"/>
        </w:rPr>
      </w:pPr>
      <w:r>
        <w:rPr>
          <w:b/>
          <w:color w:val="000000"/>
        </w:rPr>
        <w:lastRenderedPageBreak/>
        <w:t xml:space="preserve">TEC -HND/ATHE L4 Assessment Plan Template </w:t>
      </w:r>
    </w:p>
    <w:p w14:paraId="72147AF6" w14:textId="77777777" w:rsidR="00FF735E" w:rsidRDefault="00FF735E">
      <w:pPr>
        <w:pBdr>
          <w:top w:val="nil"/>
          <w:left w:val="nil"/>
          <w:bottom w:val="nil"/>
          <w:right w:val="nil"/>
          <w:between w:val="nil"/>
        </w:pBdr>
        <w:ind w:left="-1418"/>
        <w:rPr>
          <w:b/>
          <w:color w:val="000000"/>
        </w:rPr>
      </w:pPr>
    </w:p>
    <w:p w14:paraId="16BE2D53" w14:textId="77777777" w:rsidR="00FF735E" w:rsidRDefault="00000000">
      <w:pPr>
        <w:pBdr>
          <w:top w:val="nil"/>
          <w:left w:val="nil"/>
          <w:bottom w:val="nil"/>
          <w:right w:val="nil"/>
          <w:between w:val="nil"/>
        </w:pBdr>
        <w:ind w:left="-1418"/>
        <w:rPr>
          <w:b/>
          <w:color w:val="000000"/>
        </w:rPr>
      </w:pPr>
      <w:r>
        <w:rPr>
          <w:b/>
          <w:color w:val="000000"/>
        </w:rPr>
        <w:t>Year One, Semester One (HND/ATHE L4/L5)</w:t>
      </w:r>
    </w:p>
    <w:tbl>
      <w:tblPr>
        <w:tblStyle w:val="a6"/>
        <w:tblW w:w="13881" w:type="dxa"/>
        <w:tblInd w:w="-1423" w:type="dxa"/>
        <w:tblLayout w:type="fixed"/>
        <w:tblLook w:val="0400" w:firstRow="0" w:lastRow="0" w:firstColumn="0" w:lastColumn="0" w:noHBand="0" w:noVBand="1"/>
      </w:tblPr>
      <w:tblGrid>
        <w:gridCol w:w="567"/>
        <w:gridCol w:w="1271"/>
        <w:gridCol w:w="1281"/>
        <w:gridCol w:w="1418"/>
        <w:gridCol w:w="1276"/>
        <w:gridCol w:w="1128"/>
        <w:gridCol w:w="1129"/>
        <w:gridCol w:w="1134"/>
        <w:gridCol w:w="1235"/>
        <w:gridCol w:w="1175"/>
        <w:gridCol w:w="1134"/>
        <w:gridCol w:w="1133"/>
      </w:tblGrid>
      <w:tr w:rsidR="00FF735E" w14:paraId="3BD4453C" w14:textId="77777777">
        <w:trPr>
          <w:trHeight w:val="792"/>
        </w:trPr>
        <w:tc>
          <w:tcPr>
            <w:tcW w:w="567"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18DD89AB"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Units</w:t>
            </w:r>
          </w:p>
        </w:tc>
        <w:tc>
          <w:tcPr>
            <w:tcW w:w="1271"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05F727A9"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 xml:space="preserve">Assessment Submission Date </w:t>
            </w:r>
          </w:p>
        </w:tc>
        <w:tc>
          <w:tcPr>
            <w:tcW w:w="1281" w:type="dxa"/>
            <w:tcBorders>
              <w:top w:val="single" w:sz="4" w:space="0" w:color="000000"/>
              <w:left w:val="nil"/>
              <w:bottom w:val="single" w:sz="4" w:space="0" w:color="000000"/>
              <w:right w:val="single" w:sz="4" w:space="0" w:color="000000"/>
            </w:tcBorders>
            <w:shd w:val="clear" w:color="auto" w:fill="EFEFEF"/>
            <w:vAlign w:val="center"/>
          </w:tcPr>
          <w:p w14:paraId="75B93D42"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 xml:space="preserve">IV of Assessment Date </w:t>
            </w:r>
          </w:p>
        </w:tc>
        <w:tc>
          <w:tcPr>
            <w:tcW w:w="1418" w:type="dxa"/>
            <w:tcBorders>
              <w:top w:val="single" w:sz="4" w:space="0" w:color="000000"/>
              <w:left w:val="nil"/>
              <w:bottom w:val="single" w:sz="4" w:space="0" w:color="000000"/>
              <w:right w:val="single" w:sz="4" w:space="0" w:color="000000"/>
            </w:tcBorders>
            <w:shd w:val="clear" w:color="auto" w:fill="EFEFEF"/>
            <w:vAlign w:val="center"/>
          </w:tcPr>
          <w:p w14:paraId="5E6FF606"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 xml:space="preserve">  Provisional Feedback Date</w:t>
            </w:r>
          </w:p>
        </w:tc>
        <w:tc>
          <w:tcPr>
            <w:tcW w:w="1276" w:type="dxa"/>
            <w:tcBorders>
              <w:top w:val="single" w:sz="4" w:space="0" w:color="000000"/>
              <w:left w:val="nil"/>
              <w:bottom w:val="single" w:sz="4" w:space="0" w:color="000000"/>
              <w:right w:val="single" w:sz="4" w:space="0" w:color="000000"/>
            </w:tcBorders>
            <w:shd w:val="clear" w:color="auto" w:fill="EFEFEF"/>
            <w:vAlign w:val="center"/>
          </w:tcPr>
          <w:p w14:paraId="083E3759"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Planned Resubmission Date*</w:t>
            </w:r>
          </w:p>
        </w:tc>
        <w:tc>
          <w:tcPr>
            <w:tcW w:w="1128"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55DE0BC6"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Resubmission Feedback Date</w:t>
            </w:r>
          </w:p>
        </w:tc>
        <w:tc>
          <w:tcPr>
            <w:tcW w:w="1129" w:type="dxa"/>
            <w:tcBorders>
              <w:top w:val="single" w:sz="4" w:space="0" w:color="000000"/>
              <w:left w:val="nil"/>
              <w:bottom w:val="single" w:sz="4" w:space="0" w:color="000000"/>
              <w:right w:val="single" w:sz="4" w:space="0" w:color="000000"/>
            </w:tcBorders>
            <w:shd w:val="clear" w:color="auto" w:fill="EFEFEF"/>
            <w:vAlign w:val="center"/>
          </w:tcPr>
          <w:p w14:paraId="42769ED8"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Assessment Submission Date</w:t>
            </w:r>
          </w:p>
        </w:tc>
        <w:tc>
          <w:tcPr>
            <w:tcW w:w="1134"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5BB89E3B"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IV of Assessment Date</w:t>
            </w:r>
          </w:p>
        </w:tc>
        <w:tc>
          <w:tcPr>
            <w:tcW w:w="1235"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549B2E80"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 xml:space="preserve"> Intermediate Assessment Board (Semester 1)</w:t>
            </w:r>
          </w:p>
        </w:tc>
        <w:tc>
          <w:tcPr>
            <w:tcW w:w="1175" w:type="dxa"/>
            <w:tcBorders>
              <w:top w:val="single" w:sz="4" w:space="0" w:color="000000"/>
              <w:left w:val="nil"/>
              <w:bottom w:val="single" w:sz="4" w:space="0" w:color="000000"/>
              <w:right w:val="single" w:sz="4" w:space="0" w:color="000000"/>
            </w:tcBorders>
            <w:shd w:val="clear" w:color="auto" w:fill="EFEFEF"/>
            <w:vAlign w:val="center"/>
          </w:tcPr>
          <w:p w14:paraId="6053C202"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Feedback Date</w:t>
            </w:r>
          </w:p>
        </w:tc>
        <w:tc>
          <w:tcPr>
            <w:tcW w:w="1134" w:type="dxa"/>
            <w:tcBorders>
              <w:top w:val="single" w:sz="4" w:space="0" w:color="000000"/>
              <w:left w:val="nil"/>
              <w:bottom w:val="single" w:sz="4" w:space="0" w:color="000000"/>
              <w:right w:val="single" w:sz="4" w:space="0" w:color="000000"/>
            </w:tcBorders>
            <w:shd w:val="clear" w:color="auto" w:fill="EFEFEF"/>
            <w:vAlign w:val="center"/>
          </w:tcPr>
          <w:p w14:paraId="0846BAF2"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Planned Resubmission Date*</w:t>
            </w:r>
          </w:p>
        </w:tc>
        <w:tc>
          <w:tcPr>
            <w:tcW w:w="1133" w:type="dxa"/>
            <w:tcBorders>
              <w:top w:val="single" w:sz="4" w:space="0" w:color="000000"/>
              <w:left w:val="nil"/>
              <w:bottom w:val="single" w:sz="4" w:space="0" w:color="000000"/>
              <w:right w:val="single" w:sz="4" w:space="0" w:color="000000"/>
            </w:tcBorders>
            <w:shd w:val="clear" w:color="auto" w:fill="EFEFEF"/>
            <w:vAlign w:val="center"/>
          </w:tcPr>
          <w:p w14:paraId="1C7E7ED4"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Resubmission Feedback Date</w:t>
            </w:r>
          </w:p>
        </w:tc>
      </w:tr>
      <w:tr w:rsidR="00FF735E" w14:paraId="2F044077" w14:textId="77777777">
        <w:trPr>
          <w:trHeight w:val="708"/>
        </w:trPr>
        <w:tc>
          <w:tcPr>
            <w:tcW w:w="567" w:type="dxa"/>
            <w:tcBorders>
              <w:top w:val="nil"/>
              <w:left w:val="single" w:sz="4" w:space="0" w:color="000000"/>
              <w:bottom w:val="single" w:sz="4" w:space="0" w:color="000000"/>
              <w:right w:val="single" w:sz="4" w:space="0" w:color="000000"/>
            </w:tcBorders>
            <w:shd w:val="clear" w:color="auto" w:fill="FFFFFF"/>
            <w:vAlign w:val="center"/>
          </w:tcPr>
          <w:p w14:paraId="5970EDCE"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1st</w:t>
            </w:r>
          </w:p>
        </w:tc>
        <w:tc>
          <w:tcPr>
            <w:tcW w:w="1271" w:type="dxa"/>
            <w:tcBorders>
              <w:top w:val="nil"/>
              <w:left w:val="single" w:sz="4" w:space="0" w:color="000000"/>
              <w:bottom w:val="single" w:sz="4" w:space="0" w:color="000000"/>
              <w:right w:val="single" w:sz="4" w:space="0" w:color="000000"/>
            </w:tcBorders>
            <w:shd w:val="clear" w:color="auto" w:fill="FFFFFF"/>
            <w:vAlign w:val="center"/>
          </w:tcPr>
          <w:p w14:paraId="5C5FDDF6"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8</w:t>
            </w:r>
          </w:p>
        </w:tc>
        <w:tc>
          <w:tcPr>
            <w:tcW w:w="1281" w:type="dxa"/>
            <w:tcBorders>
              <w:top w:val="nil"/>
              <w:left w:val="nil"/>
              <w:bottom w:val="single" w:sz="4" w:space="0" w:color="000000"/>
              <w:right w:val="single" w:sz="4" w:space="0" w:color="000000"/>
            </w:tcBorders>
            <w:shd w:val="clear" w:color="auto" w:fill="FFFFFF"/>
            <w:vAlign w:val="center"/>
          </w:tcPr>
          <w:p w14:paraId="64D3164F"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10</w:t>
            </w:r>
          </w:p>
        </w:tc>
        <w:tc>
          <w:tcPr>
            <w:tcW w:w="1418" w:type="dxa"/>
            <w:tcBorders>
              <w:top w:val="nil"/>
              <w:left w:val="nil"/>
              <w:bottom w:val="single" w:sz="4" w:space="0" w:color="000000"/>
              <w:right w:val="single" w:sz="4" w:space="0" w:color="000000"/>
            </w:tcBorders>
            <w:shd w:val="clear" w:color="auto" w:fill="FFFFFF"/>
            <w:vAlign w:val="center"/>
          </w:tcPr>
          <w:p w14:paraId="110BBCC7"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11</w:t>
            </w:r>
          </w:p>
        </w:tc>
        <w:tc>
          <w:tcPr>
            <w:tcW w:w="1276" w:type="dxa"/>
            <w:tcBorders>
              <w:top w:val="nil"/>
              <w:left w:val="single" w:sz="4" w:space="0" w:color="000000"/>
              <w:bottom w:val="single" w:sz="4" w:space="0" w:color="000000"/>
              <w:right w:val="single" w:sz="4" w:space="0" w:color="000000"/>
            </w:tcBorders>
            <w:shd w:val="clear" w:color="auto" w:fill="FFFFFF"/>
            <w:vAlign w:val="center"/>
          </w:tcPr>
          <w:p w14:paraId="0A55DD3D"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13</w:t>
            </w:r>
          </w:p>
        </w:tc>
        <w:tc>
          <w:tcPr>
            <w:tcW w:w="1128" w:type="dxa"/>
            <w:tcBorders>
              <w:top w:val="nil"/>
              <w:left w:val="single" w:sz="4" w:space="0" w:color="000000"/>
              <w:bottom w:val="single" w:sz="4" w:space="0" w:color="000000"/>
              <w:right w:val="single" w:sz="4" w:space="0" w:color="000000"/>
            </w:tcBorders>
            <w:shd w:val="clear" w:color="auto" w:fill="FFFFFF"/>
            <w:vAlign w:val="center"/>
          </w:tcPr>
          <w:p w14:paraId="1B151074"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15</w:t>
            </w:r>
          </w:p>
        </w:tc>
        <w:tc>
          <w:tcPr>
            <w:tcW w:w="1129" w:type="dxa"/>
            <w:tcBorders>
              <w:top w:val="nil"/>
              <w:left w:val="single" w:sz="4" w:space="0" w:color="000000"/>
              <w:bottom w:val="single" w:sz="4" w:space="0" w:color="000000"/>
              <w:right w:val="single" w:sz="4" w:space="0" w:color="000000"/>
            </w:tcBorders>
            <w:shd w:val="clear" w:color="auto" w:fill="FFFFFF"/>
          </w:tcPr>
          <w:p w14:paraId="1224FAD3" w14:textId="77777777" w:rsidR="00FF735E" w:rsidRDefault="00FF735E">
            <w:pPr>
              <w:jc w:val="center"/>
              <w:rPr>
                <w:rFonts w:ascii="Gadugi" w:eastAsia="Gadugi" w:hAnsi="Gadugi" w:cs="Gadugi"/>
                <w:b/>
                <w:sz w:val="14"/>
                <w:szCs w:val="14"/>
              </w:rPr>
            </w:pPr>
          </w:p>
        </w:tc>
        <w:tc>
          <w:tcPr>
            <w:tcW w:w="1134" w:type="dxa"/>
            <w:tcBorders>
              <w:top w:val="nil"/>
              <w:left w:val="single" w:sz="4" w:space="0" w:color="000000"/>
              <w:bottom w:val="single" w:sz="4" w:space="0" w:color="000000"/>
              <w:right w:val="single" w:sz="4" w:space="0" w:color="000000"/>
            </w:tcBorders>
            <w:shd w:val="clear" w:color="auto" w:fill="FFFFFF"/>
          </w:tcPr>
          <w:p w14:paraId="2FB72B79" w14:textId="77777777" w:rsidR="00FF735E" w:rsidRDefault="00FF735E">
            <w:pPr>
              <w:jc w:val="center"/>
              <w:rPr>
                <w:rFonts w:ascii="Gadugi" w:eastAsia="Gadugi" w:hAnsi="Gadugi" w:cs="Gadugi"/>
                <w:b/>
                <w:sz w:val="14"/>
                <w:szCs w:val="14"/>
              </w:rPr>
            </w:pPr>
          </w:p>
        </w:tc>
        <w:tc>
          <w:tcPr>
            <w:tcW w:w="1235" w:type="dxa"/>
            <w:vMerge w:val="restart"/>
            <w:tcBorders>
              <w:top w:val="nil"/>
              <w:left w:val="single" w:sz="4" w:space="0" w:color="000000"/>
              <w:bottom w:val="single" w:sz="4" w:space="0" w:color="000000"/>
              <w:right w:val="single" w:sz="4" w:space="0" w:color="000000"/>
            </w:tcBorders>
            <w:shd w:val="clear" w:color="auto" w:fill="FFFFFF"/>
            <w:vAlign w:val="center"/>
          </w:tcPr>
          <w:p w14:paraId="210B8AFD"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19</w:t>
            </w:r>
          </w:p>
        </w:tc>
        <w:tc>
          <w:tcPr>
            <w:tcW w:w="1175" w:type="dxa"/>
            <w:tcBorders>
              <w:top w:val="single" w:sz="4" w:space="0" w:color="000000"/>
              <w:left w:val="nil"/>
              <w:bottom w:val="single" w:sz="4" w:space="0" w:color="000000"/>
              <w:right w:val="nil"/>
            </w:tcBorders>
            <w:shd w:val="clear" w:color="auto" w:fill="FFFFFF"/>
            <w:vAlign w:val="bottom"/>
          </w:tcPr>
          <w:p w14:paraId="52DFD111" w14:textId="77777777" w:rsidR="00FF735E" w:rsidRDefault="00000000">
            <w:pPr>
              <w:rPr>
                <w:rFonts w:ascii="Gadugi" w:eastAsia="Gadugi" w:hAnsi="Gadugi" w:cs="Gadugi"/>
                <w:sz w:val="14"/>
                <w:szCs w:val="14"/>
              </w:rPr>
            </w:pPr>
            <w:r>
              <w:rPr>
                <w:rFonts w:ascii="Gadugi" w:eastAsia="Gadugi" w:hAnsi="Gadugi" w:cs="Gadugi"/>
                <w:sz w:val="14"/>
                <w:szCs w:val="14"/>
              </w:rPr>
              <w:t> </w:t>
            </w:r>
          </w:p>
        </w:tc>
        <w:tc>
          <w:tcPr>
            <w:tcW w:w="1134" w:type="dxa"/>
            <w:tcBorders>
              <w:top w:val="nil"/>
              <w:left w:val="single" w:sz="4" w:space="0" w:color="000000"/>
              <w:bottom w:val="single" w:sz="4" w:space="0" w:color="000000"/>
              <w:right w:val="single" w:sz="4" w:space="0" w:color="000000"/>
            </w:tcBorders>
            <w:shd w:val="clear" w:color="auto" w:fill="FFFFFF"/>
            <w:vAlign w:val="center"/>
          </w:tcPr>
          <w:p w14:paraId="6F646C1D" w14:textId="77777777" w:rsidR="00FF735E" w:rsidRDefault="00FF735E">
            <w:pPr>
              <w:jc w:val="center"/>
              <w:rPr>
                <w:rFonts w:ascii="Gadugi" w:eastAsia="Gadugi" w:hAnsi="Gadugi" w:cs="Gadugi"/>
                <w:b/>
                <w:sz w:val="14"/>
                <w:szCs w:val="14"/>
              </w:rPr>
            </w:pPr>
          </w:p>
        </w:tc>
        <w:tc>
          <w:tcPr>
            <w:tcW w:w="1133" w:type="dxa"/>
            <w:tcBorders>
              <w:top w:val="nil"/>
              <w:left w:val="nil"/>
              <w:bottom w:val="single" w:sz="4" w:space="0" w:color="000000"/>
              <w:right w:val="single" w:sz="4" w:space="0" w:color="000000"/>
            </w:tcBorders>
            <w:shd w:val="clear" w:color="auto" w:fill="FFFFFF"/>
            <w:vAlign w:val="center"/>
          </w:tcPr>
          <w:p w14:paraId="7A9486CC" w14:textId="77777777" w:rsidR="00FF735E" w:rsidRDefault="00FF735E">
            <w:pPr>
              <w:jc w:val="center"/>
              <w:rPr>
                <w:rFonts w:ascii="Gadugi" w:eastAsia="Gadugi" w:hAnsi="Gadugi" w:cs="Gadugi"/>
                <w:b/>
                <w:sz w:val="14"/>
                <w:szCs w:val="14"/>
              </w:rPr>
            </w:pPr>
          </w:p>
        </w:tc>
      </w:tr>
      <w:tr w:rsidR="00FF735E" w14:paraId="596CD94A" w14:textId="77777777">
        <w:trPr>
          <w:trHeight w:val="708"/>
        </w:trPr>
        <w:tc>
          <w:tcPr>
            <w:tcW w:w="567" w:type="dxa"/>
            <w:tcBorders>
              <w:top w:val="nil"/>
              <w:left w:val="single" w:sz="4" w:space="0" w:color="000000"/>
              <w:bottom w:val="single" w:sz="4" w:space="0" w:color="000000"/>
              <w:right w:val="single" w:sz="4" w:space="0" w:color="000000"/>
            </w:tcBorders>
            <w:shd w:val="clear" w:color="auto" w:fill="FFFFFF"/>
            <w:vAlign w:val="center"/>
          </w:tcPr>
          <w:p w14:paraId="5129CE8D"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2nd</w:t>
            </w:r>
          </w:p>
        </w:tc>
        <w:tc>
          <w:tcPr>
            <w:tcW w:w="1271" w:type="dxa"/>
            <w:tcBorders>
              <w:top w:val="nil"/>
              <w:left w:val="single" w:sz="4" w:space="0" w:color="000000"/>
              <w:bottom w:val="single" w:sz="4" w:space="0" w:color="000000"/>
              <w:right w:val="single" w:sz="4" w:space="0" w:color="000000"/>
            </w:tcBorders>
            <w:shd w:val="clear" w:color="auto" w:fill="FFFFFF"/>
            <w:vAlign w:val="center"/>
          </w:tcPr>
          <w:p w14:paraId="4BE5CF57"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8</w:t>
            </w:r>
          </w:p>
        </w:tc>
        <w:tc>
          <w:tcPr>
            <w:tcW w:w="1281" w:type="dxa"/>
            <w:tcBorders>
              <w:top w:val="nil"/>
              <w:left w:val="nil"/>
              <w:bottom w:val="single" w:sz="4" w:space="0" w:color="000000"/>
              <w:right w:val="single" w:sz="4" w:space="0" w:color="000000"/>
            </w:tcBorders>
            <w:shd w:val="clear" w:color="auto" w:fill="FFFFFF"/>
            <w:vAlign w:val="center"/>
          </w:tcPr>
          <w:p w14:paraId="4A500775"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10</w:t>
            </w:r>
          </w:p>
        </w:tc>
        <w:tc>
          <w:tcPr>
            <w:tcW w:w="1418" w:type="dxa"/>
            <w:tcBorders>
              <w:top w:val="nil"/>
              <w:left w:val="nil"/>
              <w:bottom w:val="single" w:sz="4" w:space="0" w:color="000000"/>
              <w:right w:val="single" w:sz="4" w:space="0" w:color="000000"/>
            </w:tcBorders>
            <w:shd w:val="clear" w:color="auto" w:fill="FFFFFF"/>
            <w:vAlign w:val="center"/>
          </w:tcPr>
          <w:p w14:paraId="7B3AFEF3"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11</w:t>
            </w:r>
          </w:p>
        </w:tc>
        <w:tc>
          <w:tcPr>
            <w:tcW w:w="1276" w:type="dxa"/>
            <w:tcBorders>
              <w:top w:val="nil"/>
              <w:left w:val="single" w:sz="4" w:space="0" w:color="000000"/>
              <w:bottom w:val="single" w:sz="4" w:space="0" w:color="000000"/>
              <w:right w:val="single" w:sz="4" w:space="0" w:color="000000"/>
            </w:tcBorders>
            <w:shd w:val="clear" w:color="auto" w:fill="FFFFFF"/>
            <w:vAlign w:val="center"/>
          </w:tcPr>
          <w:p w14:paraId="21539C40"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13</w:t>
            </w:r>
          </w:p>
        </w:tc>
        <w:tc>
          <w:tcPr>
            <w:tcW w:w="1128" w:type="dxa"/>
            <w:tcBorders>
              <w:top w:val="nil"/>
              <w:left w:val="single" w:sz="4" w:space="0" w:color="000000"/>
              <w:bottom w:val="single" w:sz="4" w:space="0" w:color="000000"/>
              <w:right w:val="single" w:sz="4" w:space="0" w:color="000000"/>
            </w:tcBorders>
            <w:shd w:val="clear" w:color="auto" w:fill="FFFFFF"/>
            <w:vAlign w:val="center"/>
          </w:tcPr>
          <w:p w14:paraId="1F9E135A"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15</w:t>
            </w:r>
          </w:p>
        </w:tc>
        <w:tc>
          <w:tcPr>
            <w:tcW w:w="1129" w:type="dxa"/>
            <w:tcBorders>
              <w:top w:val="nil"/>
              <w:left w:val="single" w:sz="4" w:space="0" w:color="000000"/>
              <w:bottom w:val="single" w:sz="4" w:space="0" w:color="000000"/>
              <w:right w:val="single" w:sz="4" w:space="0" w:color="000000"/>
            </w:tcBorders>
            <w:shd w:val="clear" w:color="auto" w:fill="FFFFFF"/>
          </w:tcPr>
          <w:p w14:paraId="0E591DD8" w14:textId="77777777" w:rsidR="00FF735E" w:rsidRDefault="00FF735E">
            <w:pPr>
              <w:rPr>
                <w:rFonts w:ascii="Gadugi" w:eastAsia="Gadugi" w:hAnsi="Gadugi" w:cs="Gadugi"/>
                <w:b/>
                <w:sz w:val="14"/>
                <w:szCs w:val="14"/>
              </w:rPr>
            </w:pPr>
          </w:p>
        </w:tc>
        <w:tc>
          <w:tcPr>
            <w:tcW w:w="1134" w:type="dxa"/>
            <w:tcBorders>
              <w:top w:val="nil"/>
              <w:left w:val="single" w:sz="4" w:space="0" w:color="000000"/>
              <w:bottom w:val="single" w:sz="4" w:space="0" w:color="000000"/>
              <w:right w:val="single" w:sz="4" w:space="0" w:color="000000"/>
            </w:tcBorders>
            <w:shd w:val="clear" w:color="auto" w:fill="FFFFFF"/>
          </w:tcPr>
          <w:p w14:paraId="0BDA9926" w14:textId="77777777" w:rsidR="00FF735E" w:rsidRDefault="00FF735E">
            <w:pPr>
              <w:rPr>
                <w:rFonts w:ascii="Gadugi" w:eastAsia="Gadugi" w:hAnsi="Gadugi" w:cs="Gadugi"/>
                <w:b/>
                <w:sz w:val="14"/>
                <w:szCs w:val="14"/>
              </w:rPr>
            </w:pPr>
          </w:p>
        </w:tc>
        <w:tc>
          <w:tcPr>
            <w:tcW w:w="1235" w:type="dxa"/>
            <w:vMerge/>
            <w:tcBorders>
              <w:top w:val="nil"/>
              <w:left w:val="single" w:sz="4" w:space="0" w:color="000000"/>
              <w:bottom w:val="single" w:sz="4" w:space="0" w:color="000000"/>
              <w:right w:val="single" w:sz="4" w:space="0" w:color="000000"/>
            </w:tcBorders>
            <w:shd w:val="clear" w:color="auto" w:fill="FFFFFF"/>
            <w:vAlign w:val="center"/>
          </w:tcPr>
          <w:p w14:paraId="5C320AB0" w14:textId="77777777" w:rsidR="00FF735E" w:rsidRDefault="00FF735E">
            <w:pPr>
              <w:widowControl w:val="0"/>
              <w:pBdr>
                <w:top w:val="nil"/>
                <w:left w:val="nil"/>
                <w:bottom w:val="nil"/>
                <w:right w:val="nil"/>
                <w:between w:val="nil"/>
              </w:pBdr>
              <w:spacing w:line="276" w:lineRule="auto"/>
              <w:rPr>
                <w:rFonts w:ascii="Gadugi" w:eastAsia="Gadugi" w:hAnsi="Gadugi" w:cs="Gadugi"/>
                <w:b/>
                <w:sz w:val="14"/>
                <w:szCs w:val="14"/>
              </w:rPr>
            </w:pPr>
          </w:p>
        </w:tc>
        <w:tc>
          <w:tcPr>
            <w:tcW w:w="1175" w:type="dxa"/>
            <w:tcBorders>
              <w:top w:val="single" w:sz="4" w:space="0" w:color="000000"/>
              <w:left w:val="nil"/>
              <w:bottom w:val="single" w:sz="4" w:space="0" w:color="000000"/>
              <w:right w:val="nil"/>
            </w:tcBorders>
            <w:shd w:val="clear" w:color="auto" w:fill="FFFFFF"/>
            <w:vAlign w:val="bottom"/>
          </w:tcPr>
          <w:p w14:paraId="06D0F182" w14:textId="77777777" w:rsidR="00FF735E" w:rsidRDefault="00000000">
            <w:pPr>
              <w:rPr>
                <w:rFonts w:ascii="Gadugi" w:eastAsia="Gadugi" w:hAnsi="Gadugi" w:cs="Gadugi"/>
                <w:sz w:val="14"/>
                <w:szCs w:val="14"/>
              </w:rPr>
            </w:pPr>
            <w:r>
              <w:rPr>
                <w:rFonts w:ascii="Gadugi" w:eastAsia="Gadugi" w:hAnsi="Gadugi" w:cs="Gadugi"/>
                <w:sz w:val="14"/>
                <w:szCs w:val="14"/>
              </w:rPr>
              <w:t> </w:t>
            </w:r>
          </w:p>
        </w:tc>
        <w:tc>
          <w:tcPr>
            <w:tcW w:w="1134" w:type="dxa"/>
            <w:tcBorders>
              <w:top w:val="nil"/>
              <w:left w:val="single" w:sz="4" w:space="0" w:color="000000"/>
              <w:bottom w:val="single" w:sz="4" w:space="0" w:color="000000"/>
              <w:right w:val="single" w:sz="4" w:space="0" w:color="000000"/>
            </w:tcBorders>
            <w:shd w:val="clear" w:color="auto" w:fill="FFFFFF"/>
            <w:vAlign w:val="center"/>
          </w:tcPr>
          <w:p w14:paraId="18CDCD77" w14:textId="77777777" w:rsidR="00FF735E" w:rsidRDefault="00FF735E">
            <w:pPr>
              <w:jc w:val="center"/>
              <w:rPr>
                <w:rFonts w:ascii="Gadugi" w:eastAsia="Gadugi" w:hAnsi="Gadugi" w:cs="Gadugi"/>
                <w:b/>
                <w:sz w:val="14"/>
                <w:szCs w:val="14"/>
              </w:rPr>
            </w:pPr>
          </w:p>
        </w:tc>
        <w:tc>
          <w:tcPr>
            <w:tcW w:w="1133" w:type="dxa"/>
            <w:tcBorders>
              <w:top w:val="nil"/>
              <w:left w:val="nil"/>
              <w:bottom w:val="single" w:sz="4" w:space="0" w:color="000000"/>
              <w:right w:val="single" w:sz="4" w:space="0" w:color="000000"/>
            </w:tcBorders>
            <w:shd w:val="clear" w:color="auto" w:fill="FFFFFF"/>
            <w:vAlign w:val="center"/>
          </w:tcPr>
          <w:p w14:paraId="2A4FFB6A" w14:textId="77777777" w:rsidR="00FF735E" w:rsidRDefault="00FF735E">
            <w:pPr>
              <w:jc w:val="center"/>
              <w:rPr>
                <w:rFonts w:ascii="Gadugi" w:eastAsia="Gadugi" w:hAnsi="Gadugi" w:cs="Gadugi"/>
                <w:b/>
                <w:sz w:val="14"/>
                <w:szCs w:val="14"/>
              </w:rPr>
            </w:pPr>
          </w:p>
        </w:tc>
      </w:tr>
      <w:tr w:rsidR="00FF735E" w14:paraId="39EC993A" w14:textId="77777777">
        <w:trPr>
          <w:trHeight w:val="708"/>
        </w:trPr>
        <w:tc>
          <w:tcPr>
            <w:tcW w:w="567" w:type="dxa"/>
            <w:tcBorders>
              <w:top w:val="nil"/>
              <w:left w:val="single" w:sz="4" w:space="0" w:color="000000"/>
              <w:bottom w:val="single" w:sz="4" w:space="0" w:color="000000"/>
              <w:right w:val="single" w:sz="4" w:space="0" w:color="000000"/>
            </w:tcBorders>
            <w:shd w:val="clear" w:color="auto" w:fill="FFFFFF"/>
            <w:vAlign w:val="center"/>
          </w:tcPr>
          <w:p w14:paraId="3FD8C62C"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3rd</w:t>
            </w:r>
          </w:p>
        </w:tc>
        <w:tc>
          <w:tcPr>
            <w:tcW w:w="1271" w:type="dxa"/>
            <w:tcBorders>
              <w:top w:val="nil"/>
              <w:left w:val="single" w:sz="4" w:space="0" w:color="000000"/>
              <w:bottom w:val="single" w:sz="4" w:space="0" w:color="000000"/>
              <w:right w:val="single" w:sz="4" w:space="0" w:color="000000"/>
            </w:tcBorders>
            <w:shd w:val="clear" w:color="auto" w:fill="FFFFFF"/>
            <w:vAlign w:val="center"/>
          </w:tcPr>
          <w:p w14:paraId="7A375B1A" w14:textId="77777777" w:rsidR="00FF735E" w:rsidRDefault="00FF735E">
            <w:pPr>
              <w:jc w:val="center"/>
              <w:rPr>
                <w:rFonts w:ascii="Gadugi" w:eastAsia="Gadugi" w:hAnsi="Gadugi" w:cs="Gadugi"/>
                <w:b/>
                <w:sz w:val="14"/>
                <w:szCs w:val="14"/>
              </w:rPr>
            </w:pPr>
          </w:p>
        </w:tc>
        <w:tc>
          <w:tcPr>
            <w:tcW w:w="1281" w:type="dxa"/>
            <w:tcBorders>
              <w:top w:val="nil"/>
              <w:left w:val="nil"/>
              <w:bottom w:val="single" w:sz="4" w:space="0" w:color="000000"/>
              <w:right w:val="single" w:sz="4" w:space="0" w:color="000000"/>
            </w:tcBorders>
            <w:shd w:val="clear" w:color="auto" w:fill="FFFFFF"/>
            <w:vAlign w:val="center"/>
          </w:tcPr>
          <w:p w14:paraId="38AEDB79" w14:textId="77777777" w:rsidR="00FF735E" w:rsidRDefault="00FF735E">
            <w:pPr>
              <w:jc w:val="center"/>
              <w:rPr>
                <w:rFonts w:ascii="Gadugi" w:eastAsia="Gadugi" w:hAnsi="Gadugi" w:cs="Gadugi"/>
                <w:b/>
                <w:sz w:val="14"/>
                <w:szCs w:val="14"/>
              </w:rPr>
            </w:pP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27268182"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 </w:t>
            </w:r>
          </w:p>
        </w:tc>
        <w:tc>
          <w:tcPr>
            <w:tcW w:w="1276" w:type="dxa"/>
            <w:tcBorders>
              <w:top w:val="nil"/>
              <w:left w:val="single" w:sz="4" w:space="0" w:color="000000"/>
              <w:bottom w:val="single" w:sz="4" w:space="0" w:color="000000"/>
              <w:right w:val="single" w:sz="4" w:space="0" w:color="000000"/>
            </w:tcBorders>
            <w:shd w:val="clear" w:color="auto" w:fill="FFFFFF"/>
            <w:vAlign w:val="center"/>
          </w:tcPr>
          <w:p w14:paraId="0B4315D2" w14:textId="77777777" w:rsidR="00FF735E" w:rsidRDefault="00FF735E">
            <w:pPr>
              <w:rPr>
                <w:rFonts w:ascii="Gadugi" w:eastAsia="Gadugi" w:hAnsi="Gadugi" w:cs="Gadugi"/>
                <w:b/>
                <w:sz w:val="14"/>
                <w:szCs w:val="14"/>
              </w:rPr>
            </w:pPr>
          </w:p>
        </w:tc>
        <w:tc>
          <w:tcPr>
            <w:tcW w:w="1128" w:type="dxa"/>
            <w:tcBorders>
              <w:top w:val="nil"/>
              <w:left w:val="single" w:sz="4" w:space="0" w:color="000000"/>
              <w:bottom w:val="single" w:sz="4" w:space="0" w:color="000000"/>
              <w:right w:val="single" w:sz="4" w:space="0" w:color="000000"/>
            </w:tcBorders>
            <w:shd w:val="clear" w:color="auto" w:fill="FFFFFF"/>
            <w:vAlign w:val="center"/>
          </w:tcPr>
          <w:p w14:paraId="27A8D89B" w14:textId="77777777" w:rsidR="00FF735E" w:rsidRDefault="00FF735E">
            <w:pPr>
              <w:rPr>
                <w:rFonts w:ascii="Gadugi" w:eastAsia="Gadugi" w:hAnsi="Gadugi" w:cs="Gadugi"/>
                <w:b/>
                <w:sz w:val="14"/>
                <w:szCs w:val="14"/>
              </w:rPr>
            </w:pPr>
          </w:p>
        </w:tc>
        <w:tc>
          <w:tcPr>
            <w:tcW w:w="1129" w:type="dxa"/>
            <w:tcBorders>
              <w:top w:val="nil"/>
              <w:left w:val="single" w:sz="4" w:space="0" w:color="000000"/>
              <w:bottom w:val="single" w:sz="4" w:space="0" w:color="000000"/>
              <w:right w:val="single" w:sz="4" w:space="0" w:color="000000"/>
            </w:tcBorders>
            <w:shd w:val="clear" w:color="auto" w:fill="FFFFFF"/>
            <w:vAlign w:val="center"/>
          </w:tcPr>
          <w:p w14:paraId="138A7872"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16</w:t>
            </w:r>
          </w:p>
        </w:tc>
        <w:tc>
          <w:tcPr>
            <w:tcW w:w="1134" w:type="dxa"/>
            <w:tcBorders>
              <w:top w:val="nil"/>
              <w:left w:val="single" w:sz="4" w:space="0" w:color="000000"/>
              <w:bottom w:val="single" w:sz="4" w:space="0" w:color="000000"/>
              <w:right w:val="single" w:sz="4" w:space="0" w:color="000000"/>
            </w:tcBorders>
            <w:shd w:val="clear" w:color="auto" w:fill="FFFFFF"/>
            <w:vAlign w:val="center"/>
          </w:tcPr>
          <w:p w14:paraId="423B617D"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18</w:t>
            </w:r>
          </w:p>
        </w:tc>
        <w:tc>
          <w:tcPr>
            <w:tcW w:w="1235" w:type="dxa"/>
            <w:vMerge/>
            <w:tcBorders>
              <w:top w:val="nil"/>
              <w:left w:val="single" w:sz="4" w:space="0" w:color="000000"/>
              <w:bottom w:val="single" w:sz="4" w:space="0" w:color="000000"/>
              <w:right w:val="single" w:sz="4" w:space="0" w:color="000000"/>
            </w:tcBorders>
            <w:shd w:val="clear" w:color="auto" w:fill="FFFFFF"/>
            <w:vAlign w:val="center"/>
          </w:tcPr>
          <w:p w14:paraId="7B17DB76" w14:textId="77777777" w:rsidR="00FF735E" w:rsidRDefault="00FF735E">
            <w:pPr>
              <w:widowControl w:val="0"/>
              <w:pBdr>
                <w:top w:val="nil"/>
                <w:left w:val="nil"/>
                <w:bottom w:val="nil"/>
                <w:right w:val="nil"/>
                <w:between w:val="nil"/>
              </w:pBdr>
              <w:spacing w:line="276" w:lineRule="auto"/>
              <w:rPr>
                <w:rFonts w:ascii="Gadugi" w:eastAsia="Gadugi" w:hAnsi="Gadugi" w:cs="Gadugi"/>
                <w:b/>
                <w:sz w:val="14"/>
                <w:szCs w:val="14"/>
              </w:rPr>
            </w:pPr>
          </w:p>
        </w:tc>
        <w:tc>
          <w:tcPr>
            <w:tcW w:w="1175" w:type="dxa"/>
            <w:tcBorders>
              <w:top w:val="single" w:sz="4" w:space="0" w:color="000000"/>
              <w:left w:val="nil"/>
              <w:bottom w:val="single" w:sz="4" w:space="0" w:color="000000"/>
              <w:right w:val="single" w:sz="4" w:space="0" w:color="000000"/>
            </w:tcBorders>
            <w:shd w:val="clear" w:color="auto" w:fill="FFFFFF"/>
            <w:vAlign w:val="center"/>
          </w:tcPr>
          <w:p w14:paraId="5D4B4303"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19</w:t>
            </w:r>
          </w:p>
        </w:tc>
        <w:tc>
          <w:tcPr>
            <w:tcW w:w="1134" w:type="dxa"/>
            <w:tcBorders>
              <w:top w:val="nil"/>
              <w:left w:val="nil"/>
              <w:bottom w:val="single" w:sz="4" w:space="0" w:color="000000"/>
              <w:right w:val="single" w:sz="4" w:space="0" w:color="000000"/>
            </w:tcBorders>
            <w:shd w:val="clear" w:color="auto" w:fill="FFFFFF"/>
            <w:vAlign w:val="center"/>
          </w:tcPr>
          <w:p w14:paraId="2B56C1C0"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21</w:t>
            </w:r>
          </w:p>
        </w:tc>
        <w:tc>
          <w:tcPr>
            <w:tcW w:w="1133" w:type="dxa"/>
            <w:tcBorders>
              <w:top w:val="nil"/>
              <w:left w:val="nil"/>
              <w:bottom w:val="single" w:sz="4" w:space="0" w:color="000000"/>
              <w:right w:val="single" w:sz="4" w:space="0" w:color="000000"/>
            </w:tcBorders>
            <w:shd w:val="clear" w:color="auto" w:fill="FFFFFF"/>
            <w:vAlign w:val="center"/>
          </w:tcPr>
          <w:p w14:paraId="3A53BFA9"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23*</w:t>
            </w:r>
          </w:p>
        </w:tc>
      </w:tr>
      <w:tr w:rsidR="00FF735E" w14:paraId="76D7099C" w14:textId="77777777">
        <w:trPr>
          <w:trHeight w:val="708"/>
        </w:trPr>
        <w:tc>
          <w:tcPr>
            <w:tcW w:w="567" w:type="dxa"/>
            <w:tcBorders>
              <w:top w:val="nil"/>
              <w:left w:val="single" w:sz="4" w:space="0" w:color="000000"/>
              <w:bottom w:val="single" w:sz="4" w:space="0" w:color="000000"/>
              <w:right w:val="single" w:sz="4" w:space="0" w:color="000000"/>
            </w:tcBorders>
            <w:shd w:val="clear" w:color="auto" w:fill="FFFFFF"/>
            <w:vAlign w:val="center"/>
          </w:tcPr>
          <w:p w14:paraId="44BF0FF3"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4th</w:t>
            </w:r>
          </w:p>
        </w:tc>
        <w:tc>
          <w:tcPr>
            <w:tcW w:w="1271" w:type="dxa"/>
            <w:tcBorders>
              <w:top w:val="nil"/>
              <w:left w:val="single" w:sz="4" w:space="0" w:color="000000"/>
              <w:bottom w:val="single" w:sz="4" w:space="0" w:color="000000"/>
              <w:right w:val="single" w:sz="4" w:space="0" w:color="000000"/>
            </w:tcBorders>
            <w:shd w:val="clear" w:color="auto" w:fill="FFFFFF"/>
            <w:vAlign w:val="center"/>
          </w:tcPr>
          <w:p w14:paraId="70D3BADC" w14:textId="77777777" w:rsidR="00FF735E" w:rsidRDefault="00FF735E">
            <w:pPr>
              <w:jc w:val="center"/>
              <w:rPr>
                <w:rFonts w:ascii="Gadugi" w:eastAsia="Gadugi" w:hAnsi="Gadugi" w:cs="Gadugi"/>
                <w:b/>
                <w:sz w:val="14"/>
                <w:szCs w:val="14"/>
              </w:rPr>
            </w:pPr>
          </w:p>
        </w:tc>
        <w:tc>
          <w:tcPr>
            <w:tcW w:w="1281" w:type="dxa"/>
            <w:tcBorders>
              <w:top w:val="nil"/>
              <w:left w:val="nil"/>
              <w:bottom w:val="single" w:sz="4" w:space="0" w:color="000000"/>
              <w:right w:val="single" w:sz="4" w:space="0" w:color="000000"/>
            </w:tcBorders>
            <w:shd w:val="clear" w:color="auto" w:fill="FFFFFF"/>
            <w:vAlign w:val="center"/>
          </w:tcPr>
          <w:p w14:paraId="05B4851C" w14:textId="77777777" w:rsidR="00FF735E" w:rsidRDefault="00FF735E">
            <w:pPr>
              <w:jc w:val="center"/>
              <w:rPr>
                <w:rFonts w:ascii="Gadugi" w:eastAsia="Gadugi" w:hAnsi="Gadugi" w:cs="Gadugi"/>
                <w:b/>
                <w:sz w:val="14"/>
                <w:szCs w:val="14"/>
              </w:rPr>
            </w:pP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796327F5"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 </w:t>
            </w:r>
          </w:p>
        </w:tc>
        <w:tc>
          <w:tcPr>
            <w:tcW w:w="1276" w:type="dxa"/>
            <w:tcBorders>
              <w:top w:val="nil"/>
              <w:left w:val="single" w:sz="4" w:space="0" w:color="000000"/>
              <w:bottom w:val="single" w:sz="4" w:space="0" w:color="000000"/>
              <w:right w:val="single" w:sz="4" w:space="0" w:color="000000"/>
            </w:tcBorders>
            <w:shd w:val="clear" w:color="auto" w:fill="FFFFFF"/>
          </w:tcPr>
          <w:p w14:paraId="6C00E952" w14:textId="77777777" w:rsidR="00FF735E" w:rsidRDefault="00FF735E">
            <w:pPr>
              <w:rPr>
                <w:rFonts w:ascii="Gadugi" w:eastAsia="Gadugi" w:hAnsi="Gadugi" w:cs="Gadugi"/>
                <w:b/>
                <w:sz w:val="14"/>
                <w:szCs w:val="14"/>
              </w:rPr>
            </w:pPr>
          </w:p>
        </w:tc>
        <w:tc>
          <w:tcPr>
            <w:tcW w:w="1128" w:type="dxa"/>
            <w:tcBorders>
              <w:top w:val="nil"/>
              <w:left w:val="single" w:sz="4" w:space="0" w:color="000000"/>
              <w:bottom w:val="single" w:sz="4" w:space="0" w:color="000000"/>
              <w:right w:val="single" w:sz="4" w:space="0" w:color="000000"/>
            </w:tcBorders>
            <w:shd w:val="clear" w:color="auto" w:fill="FFFFFF"/>
          </w:tcPr>
          <w:p w14:paraId="7A03F0A3" w14:textId="77777777" w:rsidR="00FF735E" w:rsidRDefault="00FF735E">
            <w:pPr>
              <w:rPr>
                <w:rFonts w:ascii="Gadugi" w:eastAsia="Gadugi" w:hAnsi="Gadugi" w:cs="Gadugi"/>
                <w:b/>
                <w:sz w:val="14"/>
                <w:szCs w:val="14"/>
              </w:rPr>
            </w:pPr>
          </w:p>
        </w:tc>
        <w:tc>
          <w:tcPr>
            <w:tcW w:w="1129" w:type="dxa"/>
            <w:tcBorders>
              <w:top w:val="nil"/>
              <w:left w:val="single" w:sz="4" w:space="0" w:color="000000"/>
              <w:bottom w:val="single" w:sz="4" w:space="0" w:color="000000"/>
              <w:right w:val="single" w:sz="4" w:space="0" w:color="000000"/>
            </w:tcBorders>
            <w:shd w:val="clear" w:color="auto" w:fill="FFFFFF"/>
            <w:vAlign w:val="center"/>
          </w:tcPr>
          <w:p w14:paraId="0433952E"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16</w:t>
            </w:r>
          </w:p>
        </w:tc>
        <w:tc>
          <w:tcPr>
            <w:tcW w:w="1134" w:type="dxa"/>
            <w:tcBorders>
              <w:top w:val="nil"/>
              <w:left w:val="single" w:sz="4" w:space="0" w:color="000000"/>
              <w:bottom w:val="single" w:sz="4" w:space="0" w:color="000000"/>
              <w:right w:val="single" w:sz="4" w:space="0" w:color="000000"/>
            </w:tcBorders>
            <w:shd w:val="clear" w:color="auto" w:fill="FFFFFF"/>
            <w:vAlign w:val="center"/>
          </w:tcPr>
          <w:p w14:paraId="49EEB1D8"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18</w:t>
            </w:r>
          </w:p>
        </w:tc>
        <w:tc>
          <w:tcPr>
            <w:tcW w:w="1235" w:type="dxa"/>
            <w:vMerge/>
            <w:tcBorders>
              <w:top w:val="nil"/>
              <w:left w:val="single" w:sz="4" w:space="0" w:color="000000"/>
              <w:bottom w:val="single" w:sz="4" w:space="0" w:color="000000"/>
              <w:right w:val="single" w:sz="4" w:space="0" w:color="000000"/>
            </w:tcBorders>
            <w:shd w:val="clear" w:color="auto" w:fill="FFFFFF"/>
            <w:vAlign w:val="center"/>
          </w:tcPr>
          <w:p w14:paraId="652984C8" w14:textId="77777777" w:rsidR="00FF735E" w:rsidRDefault="00FF735E">
            <w:pPr>
              <w:widowControl w:val="0"/>
              <w:pBdr>
                <w:top w:val="nil"/>
                <w:left w:val="nil"/>
                <w:bottom w:val="nil"/>
                <w:right w:val="nil"/>
                <w:between w:val="nil"/>
              </w:pBdr>
              <w:spacing w:line="276" w:lineRule="auto"/>
              <w:rPr>
                <w:rFonts w:ascii="Gadugi" w:eastAsia="Gadugi" w:hAnsi="Gadugi" w:cs="Gadugi"/>
                <w:b/>
                <w:sz w:val="14"/>
                <w:szCs w:val="14"/>
              </w:rPr>
            </w:pPr>
          </w:p>
        </w:tc>
        <w:tc>
          <w:tcPr>
            <w:tcW w:w="1175" w:type="dxa"/>
            <w:tcBorders>
              <w:top w:val="nil"/>
              <w:left w:val="nil"/>
              <w:bottom w:val="single" w:sz="4" w:space="0" w:color="000000"/>
              <w:right w:val="single" w:sz="4" w:space="0" w:color="000000"/>
            </w:tcBorders>
            <w:shd w:val="clear" w:color="auto" w:fill="FFFFFF"/>
            <w:vAlign w:val="center"/>
          </w:tcPr>
          <w:p w14:paraId="04D7DA48"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19</w:t>
            </w:r>
          </w:p>
        </w:tc>
        <w:tc>
          <w:tcPr>
            <w:tcW w:w="1134" w:type="dxa"/>
            <w:tcBorders>
              <w:top w:val="nil"/>
              <w:left w:val="nil"/>
              <w:bottom w:val="single" w:sz="4" w:space="0" w:color="000000"/>
              <w:right w:val="single" w:sz="4" w:space="0" w:color="000000"/>
            </w:tcBorders>
            <w:shd w:val="clear" w:color="auto" w:fill="FFFFFF"/>
            <w:vAlign w:val="center"/>
          </w:tcPr>
          <w:p w14:paraId="67DDA5AA"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21</w:t>
            </w:r>
          </w:p>
        </w:tc>
        <w:tc>
          <w:tcPr>
            <w:tcW w:w="1133" w:type="dxa"/>
            <w:tcBorders>
              <w:top w:val="nil"/>
              <w:left w:val="nil"/>
              <w:bottom w:val="single" w:sz="4" w:space="0" w:color="000000"/>
              <w:right w:val="single" w:sz="4" w:space="0" w:color="000000"/>
            </w:tcBorders>
            <w:shd w:val="clear" w:color="auto" w:fill="FFFFFF"/>
            <w:vAlign w:val="center"/>
          </w:tcPr>
          <w:p w14:paraId="3D295CB9"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23*</w:t>
            </w:r>
          </w:p>
        </w:tc>
      </w:tr>
    </w:tbl>
    <w:p w14:paraId="32988ECC" w14:textId="77777777" w:rsidR="00FF735E" w:rsidRDefault="00FF735E">
      <w:pPr>
        <w:pBdr>
          <w:top w:val="nil"/>
          <w:left w:val="nil"/>
          <w:bottom w:val="nil"/>
          <w:right w:val="nil"/>
          <w:between w:val="nil"/>
        </w:pBdr>
        <w:ind w:left="-1418"/>
        <w:rPr>
          <w:color w:val="000000"/>
        </w:rPr>
      </w:pPr>
    </w:p>
    <w:p w14:paraId="21AAFBF5" w14:textId="77777777" w:rsidR="00FF735E" w:rsidRDefault="00000000">
      <w:pPr>
        <w:pBdr>
          <w:top w:val="nil"/>
          <w:left w:val="nil"/>
          <w:bottom w:val="nil"/>
          <w:right w:val="nil"/>
          <w:between w:val="nil"/>
        </w:pBdr>
        <w:ind w:left="-1418"/>
        <w:rPr>
          <w:b/>
          <w:color w:val="000000"/>
        </w:rPr>
      </w:pPr>
      <w:r>
        <w:rPr>
          <w:b/>
          <w:color w:val="000000"/>
        </w:rPr>
        <w:t>Year Two, Semester Two (HND/ATHE L4/L5)</w:t>
      </w:r>
    </w:p>
    <w:tbl>
      <w:tblPr>
        <w:tblStyle w:val="a7"/>
        <w:tblW w:w="15025" w:type="dxa"/>
        <w:tblInd w:w="-1423" w:type="dxa"/>
        <w:tblLayout w:type="fixed"/>
        <w:tblLook w:val="0400" w:firstRow="0" w:lastRow="0" w:firstColumn="0" w:lastColumn="0" w:noHBand="0" w:noVBand="1"/>
      </w:tblPr>
      <w:tblGrid>
        <w:gridCol w:w="567"/>
        <w:gridCol w:w="1271"/>
        <w:gridCol w:w="1281"/>
        <w:gridCol w:w="1418"/>
        <w:gridCol w:w="1276"/>
        <w:gridCol w:w="1128"/>
        <w:gridCol w:w="1129"/>
        <w:gridCol w:w="1134"/>
        <w:gridCol w:w="1235"/>
        <w:gridCol w:w="1185"/>
        <w:gridCol w:w="1134"/>
        <w:gridCol w:w="1134"/>
        <w:gridCol w:w="1133"/>
      </w:tblGrid>
      <w:tr w:rsidR="00FF735E" w14:paraId="64FAD292" w14:textId="77777777">
        <w:trPr>
          <w:trHeight w:val="792"/>
        </w:trPr>
        <w:tc>
          <w:tcPr>
            <w:tcW w:w="567"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3790A34C"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Units</w:t>
            </w:r>
          </w:p>
        </w:tc>
        <w:tc>
          <w:tcPr>
            <w:tcW w:w="1271"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42D5646A"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 xml:space="preserve">Assessment Submission Date </w:t>
            </w:r>
          </w:p>
        </w:tc>
        <w:tc>
          <w:tcPr>
            <w:tcW w:w="1281" w:type="dxa"/>
            <w:tcBorders>
              <w:top w:val="single" w:sz="4" w:space="0" w:color="000000"/>
              <w:left w:val="nil"/>
              <w:bottom w:val="single" w:sz="4" w:space="0" w:color="000000"/>
              <w:right w:val="single" w:sz="4" w:space="0" w:color="000000"/>
            </w:tcBorders>
            <w:shd w:val="clear" w:color="auto" w:fill="EFEFEF"/>
            <w:vAlign w:val="center"/>
          </w:tcPr>
          <w:p w14:paraId="0F7A0D21"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 xml:space="preserve">IV of Assessment Date </w:t>
            </w:r>
          </w:p>
        </w:tc>
        <w:tc>
          <w:tcPr>
            <w:tcW w:w="1418" w:type="dxa"/>
            <w:tcBorders>
              <w:top w:val="single" w:sz="4" w:space="0" w:color="000000"/>
              <w:left w:val="nil"/>
              <w:bottom w:val="single" w:sz="4" w:space="0" w:color="000000"/>
              <w:right w:val="single" w:sz="4" w:space="0" w:color="000000"/>
            </w:tcBorders>
            <w:shd w:val="clear" w:color="auto" w:fill="EFEFEF"/>
            <w:vAlign w:val="center"/>
          </w:tcPr>
          <w:p w14:paraId="58565D90"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 xml:space="preserve">  Provisional Feedback Date</w:t>
            </w:r>
          </w:p>
        </w:tc>
        <w:tc>
          <w:tcPr>
            <w:tcW w:w="1276" w:type="dxa"/>
            <w:tcBorders>
              <w:top w:val="single" w:sz="4" w:space="0" w:color="000000"/>
              <w:left w:val="nil"/>
              <w:bottom w:val="single" w:sz="4" w:space="0" w:color="000000"/>
              <w:right w:val="single" w:sz="4" w:space="0" w:color="000000"/>
            </w:tcBorders>
            <w:shd w:val="clear" w:color="auto" w:fill="EFEFEF"/>
            <w:vAlign w:val="center"/>
          </w:tcPr>
          <w:p w14:paraId="04504E75"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Planned Resubmission Date*</w:t>
            </w:r>
          </w:p>
        </w:tc>
        <w:tc>
          <w:tcPr>
            <w:tcW w:w="1128"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17DE9C9F"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Resubmission Feedback Date</w:t>
            </w:r>
          </w:p>
        </w:tc>
        <w:tc>
          <w:tcPr>
            <w:tcW w:w="1129" w:type="dxa"/>
            <w:tcBorders>
              <w:top w:val="single" w:sz="4" w:space="0" w:color="000000"/>
              <w:left w:val="nil"/>
              <w:bottom w:val="single" w:sz="4" w:space="0" w:color="000000"/>
              <w:right w:val="single" w:sz="4" w:space="0" w:color="000000"/>
            </w:tcBorders>
            <w:shd w:val="clear" w:color="auto" w:fill="EFEFEF"/>
            <w:vAlign w:val="center"/>
          </w:tcPr>
          <w:p w14:paraId="522B497E"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Assessment Submission Date</w:t>
            </w:r>
          </w:p>
        </w:tc>
        <w:tc>
          <w:tcPr>
            <w:tcW w:w="1134"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61AF366C"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IV of Assessment Date</w:t>
            </w:r>
          </w:p>
        </w:tc>
        <w:tc>
          <w:tcPr>
            <w:tcW w:w="1235"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19C7AA4C"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Feedback Date</w:t>
            </w:r>
          </w:p>
        </w:tc>
        <w:tc>
          <w:tcPr>
            <w:tcW w:w="1185"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1BDCF004"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Eternal Examiner Visit</w:t>
            </w:r>
          </w:p>
        </w:tc>
        <w:tc>
          <w:tcPr>
            <w:tcW w:w="1134"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05F08B18"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End of Session Assessment Board (Semester 2)</w:t>
            </w:r>
          </w:p>
        </w:tc>
        <w:tc>
          <w:tcPr>
            <w:tcW w:w="1134" w:type="dxa"/>
            <w:tcBorders>
              <w:top w:val="single" w:sz="4" w:space="0" w:color="000000"/>
              <w:left w:val="nil"/>
              <w:bottom w:val="single" w:sz="4" w:space="0" w:color="000000"/>
              <w:right w:val="single" w:sz="4" w:space="0" w:color="000000"/>
            </w:tcBorders>
            <w:shd w:val="clear" w:color="auto" w:fill="EFEFEF"/>
            <w:vAlign w:val="center"/>
          </w:tcPr>
          <w:p w14:paraId="7814CFB0"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Planned Resubmission Date*</w:t>
            </w:r>
          </w:p>
        </w:tc>
        <w:tc>
          <w:tcPr>
            <w:tcW w:w="1133" w:type="dxa"/>
            <w:tcBorders>
              <w:top w:val="single" w:sz="4" w:space="0" w:color="000000"/>
              <w:left w:val="nil"/>
              <w:bottom w:val="single" w:sz="4" w:space="0" w:color="000000"/>
              <w:right w:val="single" w:sz="4" w:space="0" w:color="000000"/>
            </w:tcBorders>
            <w:shd w:val="clear" w:color="auto" w:fill="EFEFEF"/>
            <w:vAlign w:val="center"/>
          </w:tcPr>
          <w:p w14:paraId="51708713"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Resubmission Feedback Date</w:t>
            </w:r>
          </w:p>
        </w:tc>
      </w:tr>
      <w:tr w:rsidR="00FF735E" w14:paraId="04597588" w14:textId="77777777">
        <w:trPr>
          <w:trHeight w:val="708"/>
        </w:trPr>
        <w:tc>
          <w:tcPr>
            <w:tcW w:w="567" w:type="dxa"/>
            <w:tcBorders>
              <w:top w:val="nil"/>
              <w:left w:val="single" w:sz="4" w:space="0" w:color="000000"/>
              <w:bottom w:val="single" w:sz="4" w:space="0" w:color="000000"/>
              <w:right w:val="single" w:sz="4" w:space="0" w:color="000000"/>
            </w:tcBorders>
            <w:shd w:val="clear" w:color="auto" w:fill="FFFFFF"/>
            <w:vAlign w:val="center"/>
          </w:tcPr>
          <w:p w14:paraId="056D0FBF"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5th</w:t>
            </w:r>
          </w:p>
        </w:tc>
        <w:tc>
          <w:tcPr>
            <w:tcW w:w="1271" w:type="dxa"/>
            <w:tcBorders>
              <w:top w:val="nil"/>
              <w:left w:val="single" w:sz="4" w:space="0" w:color="000000"/>
              <w:bottom w:val="single" w:sz="4" w:space="0" w:color="000000"/>
              <w:right w:val="single" w:sz="4" w:space="0" w:color="000000"/>
            </w:tcBorders>
            <w:shd w:val="clear" w:color="auto" w:fill="FFFFFF"/>
            <w:vAlign w:val="center"/>
          </w:tcPr>
          <w:p w14:paraId="4401CAA8"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8</w:t>
            </w:r>
          </w:p>
        </w:tc>
        <w:tc>
          <w:tcPr>
            <w:tcW w:w="1281" w:type="dxa"/>
            <w:tcBorders>
              <w:top w:val="nil"/>
              <w:left w:val="nil"/>
              <w:bottom w:val="single" w:sz="4" w:space="0" w:color="000000"/>
              <w:right w:val="single" w:sz="4" w:space="0" w:color="000000"/>
            </w:tcBorders>
            <w:shd w:val="clear" w:color="auto" w:fill="FFFFFF"/>
            <w:vAlign w:val="center"/>
          </w:tcPr>
          <w:p w14:paraId="13C878AF"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10</w:t>
            </w:r>
          </w:p>
        </w:tc>
        <w:tc>
          <w:tcPr>
            <w:tcW w:w="1418" w:type="dxa"/>
            <w:tcBorders>
              <w:top w:val="nil"/>
              <w:left w:val="nil"/>
              <w:bottom w:val="single" w:sz="4" w:space="0" w:color="000000"/>
              <w:right w:val="single" w:sz="4" w:space="0" w:color="000000"/>
            </w:tcBorders>
            <w:shd w:val="clear" w:color="auto" w:fill="FFFFFF"/>
            <w:vAlign w:val="center"/>
          </w:tcPr>
          <w:p w14:paraId="0CCA8966"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11</w:t>
            </w:r>
          </w:p>
        </w:tc>
        <w:tc>
          <w:tcPr>
            <w:tcW w:w="1276" w:type="dxa"/>
            <w:tcBorders>
              <w:top w:val="nil"/>
              <w:left w:val="single" w:sz="4" w:space="0" w:color="000000"/>
              <w:bottom w:val="single" w:sz="4" w:space="0" w:color="000000"/>
              <w:right w:val="single" w:sz="4" w:space="0" w:color="000000"/>
            </w:tcBorders>
            <w:shd w:val="clear" w:color="auto" w:fill="FFFFFF"/>
            <w:vAlign w:val="center"/>
          </w:tcPr>
          <w:p w14:paraId="5105CDE5"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13</w:t>
            </w:r>
          </w:p>
        </w:tc>
        <w:tc>
          <w:tcPr>
            <w:tcW w:w="1128" w:type="dxa"/>
            <w:tcBorders>
              <w:top w:val="nil"/>
              <w:left w:val="single" w:sz="4" w:space="0" w:color="000000"/>
              <w:bottom w:val="single" w:sz="4" w:space="0" w:color="000000"/>
              <w:right w:val="single" w:sz="4" w:space="0" w:color="000000"/>
            </w:tcBorders>
            <w:shd w:val="clear" w:color="auto" w:fill="FFFFFF"/>
            <w:vAlign w:val="center"/>
          </w:tcPr>
          <w:p w14:paraId="66B89ABD"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15</w:t>
            </w:r>
          </w:p>
        </w:tc>
        <w:tc>
          <w:tcPr>
            <w:tcW w:w="1129" w:type="dxa"/>
            <w:tcBorders>
              <w:top w:val="nil"/>
              <w:left w:val="single" w:sz="4" w:space="0" w:color="000000"/>
              <w:bottom w:val="single" w:sz="4" w:space="0" w:color="000000"/>
              <w:right w:val="single" w:sz="4" w:space="0" w:color="000000"/>
            </w:tcBorders>
            <w:shd w:val="clear" w:color="auto" w:fill="FFFFFF"/>
          </w:tcPr>
          <w:p w14:paraId="5315289D" w14:textId="77777777" w:rsidR="00FF735E" w:rsidRDefault="00FF735E">
            <w:pPr>
              <w:jc w:val="center"/>
              <w:rPr>
                <w:rFonts w:ascii="Gadugi" w:eastAsia="Gadugi" w:hAnsi="Gadugi" w:cs="Gadugi"/>
                <w:b/>
                <w:sz w:val="14"/>
                <w:szCs w:val="14"/>
              </w:rPr>
            </w:pPr>
          </w:p>
        </w:tc>
        <w:tc>
          <w:tcPr>
            <w:tcW w:w="1134" w:type="dxa"/>
            <w:tcBorders>
              <w:top w:val="nil"/>
              <w:left w:val="single" w:sz="4" w:space="0" w:color="000000"/>
              <w:bottom w:val="single" w:sz="4" w:space="0" w:color="000000"/>
              <w:right w:val="single" w:sz="4" w:space="0" w:color="000000"/>
            </w:tcBorders>
            <w:shd w:val="clear" w:color="auto" w:fill="FFFFFF"/>
          </w:tcPr>
          <w:p w14:paraId="6DC3F4B6" w14:textId="77777777" w:rsidR="00FF735E" w:rsidRDefault="00FF735E">
            <w:pPr>
              <w:jc w:val="center"/>
              <w:rPr>
                <w:rFonts w:ascii="Gadugi" w:eastAsia="Gadugi" w:hAnsi="Gadugi" w:cs="Gadugi"/>
                <w:b/>
                <w:sz w:val="14"/>
                <w:szCs w:val="14"/>
              </w:rPr>
            </w:pPr>
          </w:p>
        </w:tc>
        <w:tc>
          <w:tcPr>
            <w:tcW w:w="1235" w:type="dxa"/>
            <w:tcBorders>
              <w:top w:val="nil"/>
              <w:left w:val="single" w:sz="4" w:space="0" w:color="000000"/>
              <w:bottom w:val="single" w:sz="4" w:space="0" w:color="000000"/>
              <w:right w:val="single" w:sz="4" w:space="0" w:color="000000"/>
            </w:tcBorders>
            <w:shd w:val="clear" w:color="auto" w:fill="FFFFFF"/>
            <w:vAlign w:val="bottom"/>
          </w:tcPr>
          <w:p w14:paraId="118FD69E" w14:textId="77777777" w:rsidR="00FF735E" w:rsidRDefault="00000000">
            <w:pPr>
              <w:jc w:val="center"/>
              <w:rPr>
                <w:rFonts w:ascii="Gadugi" w:eastAsia="Gadugi" w:hAnsi="Gadugi" w:cs="Gadugi"/>
                <w:b/>
                <w:sz w:val="14"/>
                <w:szCs w:val="14"/>
              </w:rPr>
            </w:pPr>
            <w:r>
              <w:rPr>
                <w:rFonts w:ascii="Gadugi" w:eastAsia="Gadugi" w:hAnsi="Gadugi" w:cs="Gadugi"/>
                <w:sz w:val="14"/>
                <w:szCs w:val="14"/>
              </w:rPr>
              <w:t> </w:t>
            </w:r>
          </w:p>
        </w:tc>
        <w:tc>
          <w:tcPr>
            <w:tcW w:w="1185" w:type="dxa"/>
            <w:vMerge w:val="restart"/>
            <w:tcBorders>
              <w:top w:val="nil"/>
              <w:left w:val="single" w:sz="4" w:space="0" w:color="000000"/>
              <w:right w:val="single" w:sz="4" w:space="0" w:color="000000"/>
            </w:tcBorders>
            <w:shd w:val="clear" w:color="auto" w:fill="FFFFFF"/>
            <w:vAlign w:val="center"/>
          </w:tcPr>
          <w:p w14:paraId="56291F79"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20</w:t>
            </w:r>
          </w:p>
        </w:tc>
        <w:tc>
          <w:tcPr>
            <w:tcW w:w="1134" w:type="dxa"/>
            <w:vMerge w:val="restart"/>
            <w:tcBorders>
              <w:top w:val="nil"/>
              <w:left w:val="single" w:sz="4" w:space="0" w:color="000000"/>
              <w:bottom w:val="single" w:sz="4" w:space="0" w:color="000000"/>
              <w:right w:val="single" w:sz="4" w:space="0" w:color="000000"/>
            </w:tcBorders>
            <w:shd w:val="clear" w:color="auto" w:fill="FFFFFF"/>
            <w:vAlign w:val="center"/>
          </w:tcPr>
          <w:p w14:paraId="02A94804"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22</w:t>
            </w:r>
          </w:p>
        </w:tc>
        <w:tc>
          <w:tcPr>
            <w:tcW w:w="1134" w:type="dxa"/>
            <w:tcBorders>
              <w:top w:val="nil"/>
              <w:left w:val="single" w:sz="4" w:space="0" w:color="000000"/>
              <w:bottom w:val="single" w:sz="4" w:space="0" w:color="000000"/>
              <w:right w:val="single" w:sz="4" w:space="0" w:color="000000"/>
            </w:tcBorders>
            <w:shd w:val="clear" w:color="auto" w:fill="FFFFFF"/>
            <w:vAlign w:val="center"/>
          </w:tcPr>
          <w:p w14:paraId="333C79E0" w14:textId="77777777" w:rsidR="00FF735E" w:rsidRDefault="00FF735E">
            <w:pPr>
              <w:jc w:val="center"/>
              <w:rPr>
                <w:rFonts w:ascii="Gadugi" w:eastAsia="Gadugi" w:hAnsi="Gadugi" w:cs="Gadugi"/>
                <w:b/>
                <w:sz w:val="14"/>
                <w:szCs w:val="14"/>
              </w:rPr>
            </w:pPr>
          </w:p>
        </w:tc>
        <w:tc>
          <w:tcPr>
            <w:tcW w:w="1133" w:type="dxa"/>
            <w:tcBorders>
              <w:top w:val="nil"/>
              <w:left w:val="nil"/>
              <w:bottom w:val="single" w:sz="4" w:space="0" w:color="000000"/>
              <w:right w:val="single" w:sz="4" w:space="0" w:color="000000"/>
            </w:tcBorders>
            <w:shd w:val="clear" w:color="auto" w:fill="FFFFFF"/>
            <w:vAlign w:val="center"/>
          </w:tcPr>
          <w:p w14:paraId="321C579A" w14:textId="77777777" w:rsidR="00FF735E" w:rsidRDefault="00FF735E">
            <w:pPr>
              <w:jc w:val="center"/>
              <w:rPr>
                <w:rFonts w:ascii="Gadugi" w:eastAsia="Gadugi" w:hAnsi="Gadugi" w:cs="Gadugi"/>
                <w:b/>
                <w:sz w:val="14"/>
                <w:szCs w:val="14"/>
              </w:rPr>
            </w:pPr>
          </w:p>
        </w:tc>
      </w:tr>
      <w:tr w:rsidR="00FF735E" w14:paraId="78A6790B" w14:textId="77777777">
        <w:trPr>
          <w:trHeight w:val="708"/>
        </w:trPr>
        <w:tc>
          <w:tcPr>
            <w:tcW w:w="567" w:type="dxa"/>
            <w:tcBorders>
              <w:top w:val="nil"/>
              <w:left w:val="single" w:sz="4" w:space="0" w:color="000000"/>
              <w:bottom w:val="single" w:sz="4" w:space="0" w:color="000000"/>
              <w:right w:val="single" w:sz="4" w:space="0" w:color="000000"/>
            </w:tcBorders>
            <w:shd w:val="clear" w:color="auto" w:fill="FFFFFF"/>
            <w:vAlign w:val="center"/>
          </w:tcPr>
          <w:p w14:paraId="76FE99ED"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6th</w:t>
            </w:r>
          </w:p>
        </w:tc>
        <w:tc>
          <w:tcPr>
            <w:tcW w:w="1271" w:type="dxa"/>
            <w:tcBorders>
              <w:top w:val="nil"/>
              <w:left w:val="single" w:sz="4" w:space="0" w:color="000000"/>
              <w:bottom w:val="single" w:sz="4" w:space="0" w:color="000000"/>
              <w:right w:val="single" w:sz="4" w:space="0" w:color="000000"/>
            </w:tcBorders>
            <w:shd w:val="clear" w:color="auto" w:fill="FFFFFF"/>
            <w:vAlign w:val="center"/>
          </w:tcPr>
          <w:p w14:paraId="206409CB"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8</w:t>
            </w:r>
          </w:p>
        </w:tc>
        <w:tc>
          <w:tcPr>
            <w:tcW w:w="1281" w:type="dxa"/>
            <w:tcBorders>
              <w:top w:val="nil"/>
              <w:left w:val="nil"/>
              <w:bottom w:val="single" w:sz="4" w:space="0" w:color="000000"/>
              <w:right w:val="single" w:sz="4" w:space="0" w:color="000000"/>
            </w:tcBorders>
            <w:shd w:val="clear" w:color="auto" w:fill="FFFFFF"/>
            <w:vAlign w:val="center"/>
          </w:tcPr>
          <w:p w14:paraId="38D86B6A"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10</w:t>
            </w:r>
          </w:p>
        </w:tc>
        <w:tc>
          <w:tcPr>
            <w:tcW w:w="1418" w:type="dxa"/>
            <w:tcBorders>
              <w:top w:val="nil"/>
              <w:left w:val="nil"/>
              <w:bottom w:val="single" w:sz="4" w:space="0" w:color="000000"/>
              <w:right w:val="single" w:sz="4" w:space="0" w:color="000000"/>
            </w:tcBorders>
            <w:shd w:val="clear" w:color="auto" w:fill="FFFFFF"/>
            <w:vAlign w:val="center"/>
          </w:tcPr>
          <w:p w14:paraId="619DA3F6"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11</w:t>
            </w:r>
          </w:p>
        </w:tc>
        <w:tc>
          <w:tcPr>
            <w:tcW w:w="1276" w:type="dxa"/>
            <w:tcBorders>
              <w:top w:val="nil"/>
              <w:left w:val="single" w:sz="4" w:space="0" w:color="000000"/>
              <w:bottom w:val="single" w:sz="4" w:space="0" w:color="000000"/>
              <w:right w:val="single" w:sz="4" w:space="0" w:color="000000"/>
            </w:tcBorders>
            <w:shd w:val="clear" w:color="auto" w:fill="FFFFFF"/>
            <w:vAlign w:val="center"/>
          </w:tcPr>
          <w:p w14:paraId="77A80821"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13</w:t>
            </w:r>
          </w:p>
        </w:tc>
        <w:tc>
          <w:tcPr>
            <w:tcW w:w="1128" w:type="dxa"/>
            <w:tcBorders>
              <w:top w:val="nil"/>
              <w:left w:val="single" w:sz="4" w:space="0" w:color="000000"/>
              <w:bottom w:val="single" w:sz="4" w:space="0" w:color="000000"/>
              <w:right w:val="single" w:sz="4" w:space="0" w:color="000000"/>
            </w:tcBorders>
            <w:shd w:val="clear" w:color="auto" w:fill="FFFFFF"/>
            <w:vAlign w:val="center"/>
          </w:tcPr>
          <w:p w14:paraId="044CCC2F"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15</w:t>
            </w:r>
          </w:p>
        </w:tc>
        <w:tc>
          <w:tcPr>
            <w:tcW w:w="1129" w:type="dxa"/>
            <w:tcBorders>
              <w:top w:val="nil"/>
              <w:left w:val="single" w:sz="4" w:space="0" w:color="000000"/>
              <w:bottom w:val="single" w:sz="4" w:space="0" w:color="000000"/>
              <w:right w:val="single" w:sz="4" w:space="0" w:color="000000"/>
            </w:tcBorders>
            <w:shd w:val="clear" w:color="auto" w:fill="FFFFFF"/>
          </w:tcPr>
          <w:p w14:paraId="1141D3A9" w14:textId="77777777" w:rsidR="00FF735E" w:rsidRDefault="00FF735E">
            <w:pPr>
              <w:rPr>
                <w:rFonts w:ascii="Gadugi" w:eastAsia="Gadugi" w:hAnsi="Gadugi" w:cs="Gadugi"/>
                <w:b/>
                <w:sz w:val="14"/>
                <w:szCs w:val="14"/>
              </w:rPr>
            </w:pPr>
          </w:p>
        </w:tc>
        <w:tc>
          <w:tcPr>
            <w:tcW w:w="1134" w:type="dxa"/>
            <w:tcBorders>
              <w:top w:val="nil"/>
              <w:left w:val="single" w:sz="4" w:space="0" w:color="000000"/>
              <w:bottom w:val="single" w:sz="4" w:space="0" w:color="000000"/>
              <w:right w:val="single" w:sz="4" w:space="0" w:color="000000"/>
            </w:tcBorders>
            <w:shd w:val="clear" w:color="auto" w:fill="FFFFFF"/>
          </w:tcPr>
          <w:p w14:paraId="2561B0CB" w14:textId="77777777" w:rsidR="00FF735E" w:rsidRDefault="00FF735E">
            <w:pPr>
              <w:rPr>
                <w:rFonts w:ascii="Gadugi" w:eastAsia="Gadugi" w:hAnsi="Gadugi" w:cs="Gadugi"/>
                <w:b/>
                <w:sz w:val="14"/>
                <w:szCs w:val="14"/>
              </w:rPr>
            </w:pPr>
          </w:p>
        </w:tc>
        <w:tc>
          <w:tcPr>
            <w:tcW w:w="1235" w:type="dxa"/>
            <w:tcBorders>
              <w:top w:val="nil"/>
              <w:left w:val="single" w:sz="4" w:space="0" w:color="000000"/>
              <w:bottom w:val="single" w:sz="4" w:space="0" w:color="000000"/>
              <w:right w:val="single" w:sz="4" w:space="0" w:color="000000"/>
            </w:tcBorders>
            <w:shd w:val="clear" w:color="auto" w:fill="FFFFFF"/>
            <w:vAlign w:val="bottom"/>
          </w:tcPr>
          <w:p w14:paraId="2FC830A4" w14:textId="77777777" w:rsidR="00FF735E" w:rsidRDefault="00000000">
            <w:pPr>
              <w:rPr>
                <w:rFonts w:ascii="Gadugi" w:eastAsia="Gadugi" w:hAnsi="Gadugi" w:cs="Gadugi"/>
                <w:b/>
                <w:sz w:val="14"/>
                <w:szCs w:val="14"/>
              </w:rPr>
            </w:pPr>
            <w:r>
              <w:rPr>
                <w:rFonts w:ascii="Gadugi" w:eastAsia="Gadugi" w:hAnsi="Gadugi" w:cs="Gadugi"/>
                <w:sz w:val="14"/>
                <w:szCs w:val="14"/>
              </w:rPr>
              <w:t> </w:t>
            </w:r>
          </w:p>
        </w:tc>
        <w:tc>
          <w:tcPr>
            <w:tcW w:w="1185" w:type="dxa"/>
            <w:vMerge/>
            <w:tcBorders>
              <w:top w:val="nil"/>
              <w:left w:val="single" w:sz="4" w:space="0" w:color="000000"/>
              <w:right w:val="single" w:sz="4" w:space="0" w:color="000000"/>
            </w:tcBorders>
            <w:shd w:val="clear" w:color="auto" w:fill="FFFFFF"/>
            <w:vAlign w:val="center"/>
          </w:tcPr>
          <w:p w14:paraId="2DFED5B3" w14:textId="77777777" w:rsidR="00FF735E" w:rsidRDefault="00FF735E">
            <w:pPr>
              <w:widowControl w:val="0"/>
              <w:pBdr>
                <w:top w:val="nil"/>
                <w:left w:val="nil"/>
                <w:bottom w:val="nil"/>
                <w:right w:val="nil"/>
                <w:between w:val="nil"/>
              </w:pBdr>
              <w:spacing w:line="276" w:lineRule="auto"/>
              <w:rPr>
                <w:rFonts w:ascii="Gadugi" w:eastAsia="Gadugi" w:hAnsi="Gadugi" w:cs="Gadugi"/>
                <w:b/>
                <w:sz w:val="14"/>
                <w:szCs w:val="14"/>
              </w:rPr>
            </w:pPr>
          </w:p>
        </w:tc>
        <w:tc>
          <w:tcPr>
            <w:tcW w:w="1134" w:type="dxa"/>
            <w:vMerge/>
            <w:tcBorders>
              <w:top w:val="nil"/>
              <w:left w:val="single" w:sz="4" w:space="0" w:color="000000"/>
              <w:bottom w:val="single" w:sz="4" w:space="0" w:color="000000"/>
              <w:right w:val="single" w:sz="4" w:space="0" w:color="000000"/>
            </w:tcBorders>
            <w:shd w:val="clear" w:color="auto" w:fill="FFFFFF"/>
            <w:vAlign w:val="center"/>
          </w:tcPr>
          <w:p w14:paraId="245910DE" w14:textId="77777777" w:rsidR="00FF735E" w:rsidRDefault="00FF735E">
            <w:pPr>
              <w:widowControl w:val="0"/>
              <w:pBdr>
                <w:top w:val="nil"/>
                <w:left w:val="nil"/>
                <w:bottom w:val="nil"/>
                <w:right w:val="nil"/>
                <w:between w:val="nil"/>
              </w:pBdr>
              <w:spacing w:line="276" w:lineRule="auto"/>
              <w:rPr>
                <w:rFonts w:ascii="Gadugi" w:eastAsia="Gadugi" w:hAnsi="Gadugi" w:cs="Gadugi"/>
                <w:b/>
                <w:sz w:val="14"/>
                <w:szCs w:val="14"/>
              </w:rPr>
            </w:pPr>
          </w:p>
        </w:tc>
        <w:tc>
          <w:tcPr>
            <w:tcW w:w="1134" w:type="dxa"/>
            <w:tcBorders>
              <w:top w:val="nil"/>
              <w:left w:val="single" w:sz="4" w:space="0" w:color="000000"/>
              <w:bottom w:val="single" w:sz="4" w:space="0" w:color="000000"/>
              <w:right w:val="single" w:sz="4" w:space="0" w:color="000000"/>
            </w:tcBorders>
            <w:shd w:val="clear" w:color="auto" w:fill="FFFFFF"/>
            <w:vAlign w:val="center"/>
          </w:tcPr>
          <w:p w14:paraId="07E8CA27" w14:textId="77777777" w:rsidR="00FF735E" w:rsidRDefault="00FF735E">
            <w:pPr>
              <w:jc w:val="center"/>
              <w:rPr>
                <w:rFonts w:ascii="Gadugi" w:eastAsia="Gadugi" w:hAnsi="Gadugi" w:cs="Gadugi"/>
                <w:b/>
                <w:sz w:val="14"/>
                <w:szCs w:val="14"/>
              </w:rPr>
            </w:pPr>
          </w:p>
        </w:tc>
        <w:tc>
          <w:tcPr>
            <w:tcW w:w="1133" w:type="dxa"/>
            <w:tcBorders>
              <w:top w:val="nil"/>
              <w:left w:val="nil"/>
              <w:bottom w:val="single" w:sz="4" w:space="0" w:color="000000"/>
              <w:right w:val="single" w:sz="4" w:space="0" w:color="000000"/>
            </w:tcBorders>
            <w:shd w:val="clear" w:color="auto" w:fill="FFFFFF"/>
            <w:vAlign w:val="center"/>
          </w:tcPr>
          <w:p w14:paraId="089FE1CF" w14:textId="77777777" w:rsidR="00FF735E" w:rsidRDefault="00FF735E">
            <w:pPr>
              <w:jc w:val="center"/>
              <w:rPr>
                <w:rFonts w:ascii="Gadugi" w:eastAsia="Gadugi" w:hAnsi="Gadugi" w:cs="Gadugi"/>
                <w:b/>
                <w:sz w:val="14"/>
                <w:szCs w:val="14"/>
              </w:rPr>
            </w:pPr>
          </w:p>
        </w:tc>
      </w:tr>
      <w:tr w:rsidR="00FF735E" w14:paraId="0039AA73" w14:textId="77777777">
        <w:trPr>
          <w:trHeight w:val="708"/>
        </w:trPr>
        <w:tc>
          <w:tcPr>
            <w:tcW w:w="567" w:type="dxa"/>
            <w:tcBorders>
              <w:top w:val="nil"/>
              <w:left w:val="single" w:sz="4" w:space="0" w:color="000000"/>
              <w:bottom w:val="single" w:sz="4" w:space="0" w:color="000000"/>
              <w:right w:val="single" w:sz="4" w:space="0" w:color="000000"/>
            </w:tcBorders>
            <w:shd w:val="clear" w:color="auto" w:fill="FFFFFF"/>
            <w:vAlign w:val="center"/>
          </w:tcPr>
          <w:p w14:paraId="257E99B4"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7th</w:t>
            </w:r>
          </w:p>
        </w:tc>
        <w:tc>
          <w:tcPr>
            <w:tcW w:w="1271" w:type="dxa"/>
            <w:tcBorders>
              <w:top w:val="nil"/>
              <w:left w:val="single" w:sz="4" w:space="0" w:color="000000"/>
              <w:bottom w:val="single" w:sz="4" w:space="0" w:color="000000"/>
              <w:right w:val="single" w:sz="4" w:space="0" w:color="000000"/>
            </w:tcBorders>
            <w:shd w:val="clear" w:color="auto" w:fill="FFFFFF"/>
            <w:vAlign w:val="center"/>
          </w:tcPr>
          <w:p w14:paraId="04DB47DD" w14:textId="77777777" w:rsidR="00FF735E" w:rsidRDefault="00FF735E">
            <w:pPr>
              <w:jc w:val="center"/>
              <w:rPr>
                <w:rFonts w:ascii="Gadugi" w:eastAsia="Gadugi" w:hAnsi="Gadugi" w:cs="Gadugi"/>
                <w:b/>
                <w:sz w:val="14"/>
                <w:szCs w:val="14"/>
              </w:rPr>
            </w:pPr>
          </w:p>
        </w:tc>
        <w:tc>
          <w:tcPr>
            <w:tcW w:w="1281" w:type="dxa"/>
            <w:tcBorders>
              <w:top w:val="nil"/>
              <w:left w:val="nil"/>
              <w:bottom w:val="single" w:sz="4" w:space="0" w:color="000000"/>
              <w:right w:val="single" w:sz="4" w:space="0" w:color="000000"/>
            </w:tcBorders>
            <w:shd w:val="clear" w:color="auto" w:fill="FFFFFF"/>
            <w:vAlign w:val="center"/>
          </w:tcPr>
          <w:p w14:paraId="6B60A8F9" w14:textId="77777777" w:rsidR="00FF735E" w:rsidRDefault="00FF735E">
            <w:pPr>
              <w:jc w:val="center"/>
              <w:rPr>
                <w:rFonts w:ascii="Gadugi" w:eastAsia="Gadugi" w:hAnsi="Gadugi" w:cs="Gadugi"/>
                <w:b/>
                <w:sz w:val="14"/>
                <w:szCs w:val="14"/>
              </w:rPr>
            </w:pP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763F416E"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 </w:t>
            </w:r>
          </w:p>
        </w:tc>
        <w:tc>
          <w:tcPr>
            <w:tcW w:w="1276" w:type="dxa"/>
            <w:tcBorders>
              <w:top w:val="nil"/>
              <w:left w:val="single" w:sz="4" w:space="0" w:color="000000"/>
              <w:bottom w:val="single" w:sz="4" w:space="0" w:color="000000"/>
              <w:right w:val="single" w:sz="4" w:space="0" w:color="000000"/>
            </w:tcBorders>
            <w:shd w:val="clear" w:color="auto" w:fill="FFFFFF"/>
            <w:vAlign w:val="center"/>
          </w:tcPr>
          <w:p w14:paraId="73BE053B" w14:textId="77777777" w:rsidR="00FF735E" w:rsidRDefault="00FF735E">
            <w:pPr>
              <w:rPr>
                <w:rFonts w:ascii="Gadugi" w:eastAsia="Gadugi" w:hAnsi="Gadugi" w:cs="Gadugi"/>
                <w:b/>
                <w:sz w:val="14"/>
                <w:szCs w:val="14"/>
              </w:rPr>
            </w:pPr>
          </w:p>
        </w:tc>
        <w:tc>
          <w:tcPr>
            <w:tcW w:w="1128" w:type="dxa"/>
            <w:tcBorders>
              <w:top w:val="nil"/>
              <w:left w:val="single" w:sz="4" w:space="0" w:color="000000"/>
              <w:bottom w:val="single" w:sz="4" w:space="0" w:color="000000"/>
              <w:right w:val="single" w:sz="4" w:space="0" w:color="000000"/>
            </w:tcBorders>
            <w:shd w:val="clear" w:color="auto" w:fill="FFFFFF"/>
            <w:vAlign w:val="center"/>
          </w:tcPr>
          <w:p w14:paraId="5BDB9467" w14:textId="77777777" w:rsidR="00FF735E" w:rsidRDefault="00FF735E">
            <w:pPr>
              <w:rPr>
                <w:rFonts w:ascii="Gadugi" w:eastAsia="Gadugi" w:hAnsi="Gadugi" w:cs="Gadugi"/>
                <w:b/>
                <w:sz w:val="14"/>
                <w:szCs w:val="14"/>
              </w:rPr>
            </w:pPr>
          </w:p>
        </w:tc>
        <w:tc>
          <w:tcPr>
            <w:tcW w:w="1129" w:type="dxa"/>
            <w:tcBorders>
              <w:top w:val="nil"/>
              <w:left w:val="single" w:sz="4" w:space="0" w:color="000000"/>
              <w:bottom w:val="single" w:sz="4" w:space="0" w:color="000000"/>
              <w:right w:val="single" w:sz="4" w:space="0" w:color="000000"/>
            </w:tcBorders>
            <w:shd w:val="clear" w:color="auto" w:fill="FFFFFF"/>
            <w:vAlign w:val="center"/>
          </w:tcPr>
          <w:p w14:paraId="11D929E2"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16</w:t>
            </w:r>
          </w:p>
        </w:tc>
        <w:tc>
          <w:tcPr>
            <w:tcW w:w="1134" w:type="dxa"/>
            <w:tcBorders>
              <w:top w:val="nil"/>
              <w:left w:val="single" w:sz="4" w:space="0" w:color="000000"/>
              <w:bottom w:val="single" w:sz="4" w:space="0" w:color="000000"/>
              <w:right w:val="single" w:sz="4" w:space="0" w:color="000000"/>
            </w:tcBorders>
            <w:shd w:val="clear" w:color="auto" w:fill="FFFFFF"/>
            <w:vAlign w:val="center"/>
          </w:tcPr>
          <w:p w14:paraId="53287D3F"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18</w:t>
            </w:r>
          </w:p>
        </w:tc>
        <w:tc>
          <w:tcPr>
            <w:tcW w:w="1235" w:type="dxa"/>
            <w:tcBorders>
              <w:top w:val="nil"/>
              <w:left w:val="single" w:sz="4" w:space="0" w:color="000000"/>
              <w:bottom w:val="single" w:sz="4" w:space="0" w:color="000000"/>
              <w:right w:val="single" w:sz="4" w:space="0" w:color="000000"/>
            </w:tcBorders>
            <w:shd w:val="clear" w:color="auto" w:fill="FFFFFF"/>
            <w:vAlign w:val="center"/>
          </w:tcPr>
          <w:p w14:paraId="5359B1ED"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20</w:t>
            </w:r>
          </w:p>
        </w:tc>
        <w:tc>
          <w:tcPr>
            <w:tcW w:w="1185" w:type="dxa"/>
            <w:vMerge/>
            <w:tcBorders>
              <w:top w:val="nil"/>
              <w:left w:val="single" w:sz="4" w:space="0" w:color="000000"/>
              <w:right w:val="single" w:sz="4" w:space="0" w:color="000000"/>
            </w:tcBorders>
            <w:shd w:val="clear" w:color="auto" w:fill="FFFFFF"/>
            <w:vAlign w:val="center"/>
          </w:tcPr>
          <w:p w14:paraId="330BBB59" w14:textId="77777777" w:rsidR="00FF735E" w:rsidRDefault="00FF735E">
            <w:pPr>
              <w:widowControl w:val="0"/>
              <w:pBdr>
                <w:top w:val="nil"/>
                <w:left w:val="nil"/>
                <w:bottom w:val="nil"/>
                <w:right w:val="nil"/>
                <w:between w:val="nil"/>
              </w:pBdr>
              <w:spacing w:line="276" w:lineRule="auto"/>
              <w:rPr>
                <w:rFonts w:ascii="Gadugi" w:eastAsia="Gadugi" w:hAnsi="Gadugi" w:cs="Gadugi"/>
                <w:b/>
                <w:sz w:val="14"/>
                <w:szCs w:val="14"/>
              </w:rPr>
            </w:pPr>
          </w:p>
        </w:tc>
        <w:tc>
          <w:tcPr>
            <w:tcW w:w="1134" w:type="dxa"/>
            <w:vMerge/>
            <w:tcBorders>
              <w:top w:val="nil"/>
              <w:left w:val="single" w:sz="4" w:space="0" w:color="000000"/>
              <w:bottom w:val="single" w:sz="4" w:space="0" w:color="000000"/>
              <w:right w:val="single" w:sz="4" w:space="0" w:color="000000"/>
            </w:tcBorders>
            <w:shd w:val="clear" w:color="auto" w:fill="FFFFFF"/>
            <w:vAlign w:val="center"/>
          </w:tcPr>
          <w:p w14:paraId="641F0E89" w14:textId="77777777" w:rsidR="00FF735E" w:rsidRDefault="00FF735E">
            <w:pPr>
              <w:widowControl w:val="0"/>
              <w:pBdr>
                <w:top w:val="nil"/>
                <w:left w:val="nil"/>
                <w:bottom w:val="nil"/>
                <w:right w:val="nil"/>
                <w:between w:val="nil"/>
              </w:pBdr>
              <w:spacing w:line="276" w:lineRule="auto"/>
              <w:rPr>
                <w:rFonts w:ascii="Gadugi" w:eastAsia="Gadugi" w:hAnsi="Gadugi" w:cs="Gadugi"/>
                <w:b/>
                <w:sz w:val="14"/>
                <w:szCs w:val="14"/>
              </w:rPr>
            </w:pPr>
          </w:p>
        </w:tc>
        <w:tc>
          <w:tcPr>
            <w:tcW w:w="1134" w:type="dxa"/>
            <w:tcBorders>
              <w:top w:val="nil"/>
              <w:left w:val="nil"/>
              <w:bottom w:val="single" w:sz="4" w:space="0" w:color="000000"/>
              <w:right w:val="single" w:sz="4" w:space="0" w:color="000000"/>
            </w:tcBorders>
            <w:shd w:val="clear" w:color="auto" w:fill="FFFFFF"/>
            <w:vAlign w:val="center"/>
          </w:tcPr>
          <w:p w14:paraId="167D895F"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22</w:t>
            </w:r>
          </w:p>
        </w:tc>
        <w:tc>
          <w:tcPr>
            <w:tcW w:w="1133" w:type="dxa"/>
            <w:tcBorders>
              <w:top w:val="nil"/>
              <w:left w:val="nil"/>
              <w:bottom w:val="single" w:sz="4" w:space="0" w:color="000000"/>
              <w:right w:val="single" w:sz="4" w:space="0" w:color="000000"/>
            </w:tcBorders>
            <w:shd w:val="clear" w:color="auto" w:fill="FFFFFF"/>
            <w:vAlign w:val="center"/>
          </w:tcPr>
          <w:p w14:paraId="690BAEB1"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23*</w:t>
            </w:r>
          </w:p>
        </w:tc>
      </w:tr>
      <w:tr w:rsidR="00FF735E" w14:paraId="7DDEBD79" w14:textId="77777777">
        <w:trPr>
          <w:trHeight w:val="708"/>
        </w:trPr>
        <w:tc>
          <w:tcPr>
            <w:tcW w:w="567" w:type="dxa"/>
            <w:tcBorders>
              <w:top w:val="nil"/>
              <w:left w:val="single" w:sz="4" w:space="0" w:color="000000"/>
              <w:bottom w:val="single" w:sz="4" w:space="0" w:color="000000"/>
              <w:right w:val="single" w:sz="4" w:space="0" w:color="000000"/>
            </w:tcBorders>
            <w:shd w:val="clear" w:color="auto" w:fill="FFFFFF"/>
            <w:vAlign w:val="center"/>
          </w:tcPr>
          <w:p w14:paraId="3F4CB1B4"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8th</w:t>
            </w:r>
          </w:p>
        </w:tc>
        <w:tc>
          <w:tcPr>
            <w:tcW w:w="1271" w:type="dxa"/>
            <w:tcBorders>
              <w:top w:val="nil"/>
              <w:left w:val="single" w:sz="4" w:space="0" w:color="000000"/>
              <w:bottom w:val="single" w:sz="4" w:space="0" w:color="000000"/>
              <w:right w:val="single" w:sz="4" w:space="0" w:color="000000"/>
            </w:tcBorders>
            <w:shd w:val="clear" w:color="auto" w:fill="FFFFFF"/>
            <w:vAlign w:val="center"/>
          </w:tcPr>
          <w:p w14:paraId="7C4A1B82" w14:textId="77777777" w:rsidR="00FF735E" w:rsidRDefault="00FF735E">
            <w:pPr>
              <w:jc w:val="center"/>
              <w:rPr>
                <w:rFonts w:ascii="Gadugi" w:eastAsia="Gadugi" w:hAnsi="Gadugi" w:cs="Gadugi"/>
                <w:b/>
                <w:sz w:val="14"/>
                <w:szCs w:val="14"/>
              </w:rPr>
            </w:pPr>
          </w:p>
        </w:tc>
        <w:tc>
          <w:tcPr>
            <w:tcW w:w="1281" w:type="dxa"/>
            <w:tcBorders>
              <w:top w:val="nil"/>
              <w:left w:val="nil"/>
              <w:bottom w:val="single" w:sz="4" w:space="0" w:color="000000"/>
              <w:right w:val="single" w:sz="4" w:space="0" w:color="000000"/>
            </w:tcBorders>
            <w:shd w:val="clear" w:color="auto" w:fill="FFFFFF"/>
            <w:vAlign w:val="center"/>
          </w:tcPr>
          <w:p w14:paraId="420E3FA4" w14:textId="77777777" w:rsidR="00FF735E" w:rsidRDefault="00FF735E">
            <w:pPr>
              <w:jc w:val="center"/>
              <w:rPr>
                <w:rFonts w:ascii="Gadugi" w:eastAsia="Gadugi" w:hAnsi="Gadugi" w:cs="Gadugi"/>
                <w:b/>
                <w:sz w:val="14"/>
                <w:szCs w:val="14"/>
              </w:rPr>
            </w:pP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37AC4255"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 </w:t>
            </w:r>
          </w:p>
        </w:tc>
        <w:tc>
          <w:tcPr>
            <w:tcW w:w="1276" w:type="dxa"/>
            <w:tcBorders>
              <w:top w:val="nil"/>
              <w:left w:val="single" w:sz="4" w:space="0" w:color="000000"/>
              <w:bottom w:val="single" w:sz="4" w:space="0" w:color="000000"/>
              <w:right w:val="single" w:sz="4" w:space="0" w:color="000000"/>
            </w:tcBorders>
            <w:shd w:val="clear" w:color="auto" w:fill="FFFFFF"/>
          </w:tcPr>
          <w:p w14:paraId="667982DB" w14:textId="77777777" w:rsidR="00FF735E" w:rsidRDefault="00FF735E">
            <w:pPr>
              <w:rPr>
                <w:rFonts w:ascii="Gadugi" w:eastAsia="Gadugi" w:hAnsi="Gadugi" w:cs="Gadugi"/>
                <w:b/>
                <w:sz w:val="14"/>
                <w:szCs w:val="14"/>
              </w:rPr>
            </w:pPr>
          </w:p>
        </w:tc>
        <w:tc>
          <w:tcPr>
            <w:tcW w:w="1128" w:type="dxa"/>
            <w:tcBorders>
              <w:top w:val="nil"/>
              <w:left w:val="single" w:sz="4" w:space="0" w:color="000000"/>
              <w:bottom w:val="single" w:sz="4" w:space="0" w:color="000000"/>
              <w:right w:val="single" w:sz="4" w:space="0" w:color="000000"/>
            </w:tcBorders>
            <w:shd w:val="clear" w:color="auto" w:fill="FFFFFF"/>
          </w:tcPr>
          <w:p w14:paraId="5E9DEC70" w14:textId="77777777" w:rsidR="00FF735E" w:rsidRDefault="00FF735E">
            <w:pPr>
              <w:rPr>
                <w:rFonts w:ascii="Gadugi" w:eastAsia="Gadugi" w:hAnsi="Gadugi" w:cs="Gadugi"/>
                <w:b/>
                <w:sz w:val="14"/>
                <w:szCs w:val="14"/>
              </w:rPr>
            </w:pPr>
          </w:p>
        </w:tc>
        <w:tc>
          <w:tcPr>
            <w:tcW w:w="1129" w:type="dxa"/>
            <w:tcBorders>
              <w:top w:val="nil"/>
              <w:left w:val="single" w:sz="4" w:space="0" w:color="000000"/>
              <w:bottom w:val="single" w:sz="4" w:space="0" w:color="000000"/>
              <w:right w:val="single" w:sz="4" w:space="0" w:color="000000"/>
            </w:tcBorders>
            <w:shd w:val="clear" w:color="auto" w:fill="FFFFFF"/>
            <w:vAlign w:val="center"/>
          </w:tcPr>
          <w:p w14:paraId="6B847F91"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16</w:t>
            </w:r>
          </w:p>
        </w:tc>
        <w:tc>
          <w:tcPr>
            <w:tcW w:w="1134" w:type="dxa"/>
            <w:tcBorders>
              <w:top w:val="nil"/>
              <w:left w:val="single" w:sz="4" w:space="0" w:color="000000"/>
              <w:bottom w:val="single" w:sz="4" w:space="0" w:color="000000"/>
              <w:right w:val="single" w:sz="4" w:space="0" w:color="000000"/>
            </w:tcBorders>
            <w:shd w:val="clear" w:color="auto" w:fill="FFFFFF"/>
            <w:vAlign w:val="center"/>
          </w:tcPr>
          <w:p w14:paraId="551ED9AE"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18</w:t>
            </w:r>
          </w:p>
        </w:tc>
        <w:tc>
          <w:tcPr>
            <w:tcW w:w="1235" w:type="dxa"/>
            <w:tcBorders>
              <w:top w:val="nil"/>
              <w:left w:val="single" w:sz="4" w:space="0" w:color="000000"/>
              <w:bottom w:val="single" w:sz="4" w:space="0" w:color="000000"/>
              <w:right w:val="single" w:sz="4" w:space="0" w:color="000000"/>
            </w:tcBorders>
            <w:shd w:val="clear" w:color="auto" w:fill="FFFFFF"/>
            <w:vAlign w:val="center"/>
          </w:tcPr>
          <w:p w14:paraId="1B91D9BB"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20</w:t>
            </w:r>
          </w:p>
        </w:tc>
        <w:tc>
          <w:tcPr>
            <w:tcW w:w="1185" w:type="dxa"/>
            <w:vMerge/>
            <w:tcBorders>
              <w:top w:val="nil"/>
              <w:left w:val="single" w:sz="4" w:space="0" w:color="000000"/>
              <w:right w:val="single" w:sz="4" w:space="0" w:color="000000"/>
            </w:tcBorders>
            <w:shd w:val="clear" w:color="auto" w:fill="FFFFFF"/>
            <w:vAlign w:val="center"/>
          </w:tcPr>
          <w:p w14:paraId="455A9587" w14:textId="77777777" w:rsidR="00FF735E" w:rsidRDefault="00FF735E">
            <w:pPr>
              <w:widowControl w:val="0"/>
              <w:pBdr>
                <w:top w:val="nil"/>
                <w:left w:val="nil"/>
                <w:bottom w:val="nil"/>
                <w:right w:val="nil"/>
                <w:between w:val="nil"/>
              </w:pBdr>
              <w:spacing w:line="276" w:lineRule="auto"/>
              <w:rPr>
                <w:rFonts w:ascii="Gadugi" w:eastAsia="Gadugi" w:hAnsi="Gadugi" w:cs="Gadugi"/>
                <w:b/>
                <w:sz w:val="14"/>
                <w:szCs w:val="14"/>
              </w:rPr>
            </w:pPr>
          </w:p>
        </w:tc>
        <w:tc>
          <w:tcPr>
            <w:tcW w:w="1134" w:type="dxa"/>
            <w:vMerge/>
            <w:tcBorders>
              <w:top w:val="nil"/>
              <w:left w:val="single" w:sz="4" w:space="0" w:color="000000"/>
              <w:bottom w:val="single" w:sz="4" w:space="0" w:color="000000"/>
              <w:right w:val="single" w:sz="4" w:space="0" w:color="000000"/>
            </w:tcBorders>
            <w:shd w:val="clear" w:color="auto" w:fill="FFFFFF"/>
            <w:vAlign w:val="center"/>
          </w:tcPr>
          <w:p w14:paraId="3F273788" w14:textId="77777777" w:rsidR="00FF735E" w:rsidRDefault="00FF735E">
            <w:pPr>
              <w:widowControl w:val="0"/>
              <w:pBdr>
                <w:top w:val="nil"/>
                <w:left w:val="nil"/>
                <w:bottom w:val="nil"/>
                <w:right w:val="nil"/>
                <w:between w:val="nil"/>
              </w:pBdr>
              <w:spacing w:line="276" w:lineRule="auto"/>
              <w:rPr>
                <w:rFonts w:ascii="Gadugi" w:eastAsia="Gadugi" w:hAnsi="Gadugi" w:cs="Gadugi"/>
                <w:b/>
                <w:sz w:val="14"/>
                <w:szCs w:val="14"/>
              </w:rPr>
            </w:pPr>
          </w:p>
        </w:tc>
        <w:tc>
          <w:tcPr>
            <w:tcW w:w="1134" w:type="dxa"/>
            <w:tcBorders>
              <w:top w:val="nil"/>
              <w:left w:val="nil"/>
              <w:bottom w:val="single" w:sz="4" w:space="0" w:color="000000"/>
              <w:right w:val="single" w:sz="4" w:space="0" w:color="000000"/>
            </w:tcBorders>
            <w:shd w:val="clear" w:color="auto" w:fill="FFFFFF"/>
            <w:vAlign w:val="center"/>
          </w:tcPr>
          <w:p w14:paraId="5E8A2DED"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22</w:t>
            </w:r>
          </w:p>
        </w:tc>
        <w:tc>
          <w:tcPr>
            <w:tcW w:w="1133" w:type="dxa"/>
            <w:tcBorders>
              <w:top w:val="nil"/>
              <w:left w:val="nil"/>
              <w:bottom w:val="single" w:sz="4" w:space="0" w:color="000000"/>
              <w:right w:val="single" w:sz="4" w:space="0" w:color="000000"/>
            </w:tcBorders>
            <w:shd w:val="clear" w:color="auto" w:fill="FFFFFF"/>
            <w:vAlign w:val="center"/>
          </w:tcPr>
          <w:p w14:paraId="7610CEE9" w14:textId="77777777" w:rsidR="00FF735E" w:rsidRDefault="00000000">
            <w:pPr>
              <w:jc w:val="center"/>
              <w:rPr>
                <w:rFonts w:ascii="Gadugi" w:eastAsia="Gadugi" w:hAnsi="Gadugi" w:cs="Gadugi"/>
                <w:b/>
                <w:sz w:val="14"/>
                <w:szCs w:val="14"/>
              </w:rPr>
            </w:pPr>
            <w:r>
              <w:rPr>
                <w:rFonts w:ascii="Gadugi" w:eastAsia="Gadugi" w:hAnsi="Gadugi" w:cs="Gadugi"/>
                <w:b/>
                <w:sz w:val="14"/>
                <w:szCs w:val="14"/>
              </w:rPr>
              <w:t>Week 23*</w:t>
            </w:r>
          </w:p>
        </w:tc>
      </w:tr>
    </w:tbl>
    <w:p w14:paraId="6517BC52" w14:textId="77777777" w:rsidR="00FF735E" w:rsidRDefault="00000000">
      <w:pPr>
        <w:pBdr>
          <w:top w:val="nil"/>
          <w:left w:val="nil"/>
          <w:bottom w:val="nil"/>
          <w:right w:val="nil"/>
          <w:between w:val="nil"/>
        </w:pBdr>
        <w:ind w:left="-1418"/>
        <w:rPr>
          <w:color w:val="000000"/>
        </w:rPr>
        <w:sectPr w:rsidR="00FF735E">
          <w:pgSz w:w="16840" w:h="11900" w:orient="landscape"/>
          <w:pgMar w:top="992" w:right="992" w:bottom="1270" w:left="2552" w:header="709" w:footer="709" w:gutter="0"/>
          <w:pgNumType w:start="1"/>
          <w:cols w:space="720"/>
          <w:titlePg/>
        </w:sectPr>
      </w:pPr>
      <w:r>
        <w:t xml:space="preserve">* </w:t>
      </w:r>
      <w:r>
        <w:rPr>
          <w:color w:val="000000"/>
        </w:rPr>
        <w:t>Week numbers do not account for holidays</w:t>
      </w:r>
    </w:p>
    <w:p w14:paraId="5AA08F3F" w14:textId="77777777" w:rsidR="00FF735E" w:rsidRDefault="00FF735E">
      <w:pPr>
        <w:pBdr>
          <w:top w:val="nil"/>
          <w:left w:val="nil"/>
          <w:bottom w:val="nil"/>
          <w:right w:val="nil"/>
          <w:between w:val="nil"/>
        </w:pBdr>
        <w:ind w:left="-1418"/>
        <w:rPr>
          <w:color w:val="000000"/>
        </w:rPr>
      </w:pPr>
    </w:p>
    <w:p w14:paraId="5CA44E95" w14:textId="77777777" w:rsidR="00FF735E" w:rsidRDefault="00000000">
      <w:pPr>
        <w:pStyle w:val="Heading2"/>
        <w:ind w:left="792" w:hanging="432"/>
      </w:pPr>
      <w:bookmarkStart w:id="15" w:name="_heading=h.35nkun2" w:colFirst="0" w:colLast="0"/>
      <w:bookmarkEnd w:id="15"/>
      <w:r>
        <w:t>The process of marking and giving feedback</w:t>
      </w:r>
    </w:p>
    <w:p w14:paraId="26679D25" w14:textId="77777777" w:rsidR="00FF735E" w:rsidRDefault="00FF735E"/>
    <w:p w14:paraId="7004674F" w14:textId="77777777" w:rsidR="00FF735E" w:rsidRDefault="00000000">
      <w:pPr>
        <w:numPr>
          <w:ilvl w:val="0"/>
          <w:numId w:val="7"/>
        </w:numPr>
        <w:pBdr>
          <w:top w:val="nil"/>
          <w:left w:val="nil"/>
          <w:bottom w:val="nil"/>
          <w:right w:val="nil"/>
          <w:between w:val="nil"/>
        </w:pBdr>
        <w:rPr>
          <w:b/>
          <w:color w:val="000000"/>
        </w:rPr>
      </w:pPr>
      <w:r>
        <w:rPr>
          <w:b/>
          <w:color w:val="000000"/>
        </w:rPr>
        <w:t>Submissions</w:t>
      </w:r>
    </w:p>
    <w:p w14:paraId="73FC3DDA" w14:textId="77777777" w:rsidR="00FF735E" w:rsidRDefault="00000000">
      <w:pPr>
        <w:pBdr>
          <w:top w:val="nil"/>
          <w:left w:val="nil"/>
          <w:bottom w:val="nil"/>
          <w:right w:val="nil"/>
          <w:between w:val="nil"/>
        </w:pBdr>
        <w:ind w:left="720"/>
        <w:rPr>
          <w:color w:val="000000"/>
        </w:rPr>
      </w:pPr>
      <w:r>
        <w:rPr>
          <w:color w:val="000000"/>
        </w:rPr>
        <w:t>The student submits their work by the deadline</w:t>
      </w:r>
    </w:p>
    <w:p w14:paraId="2EDDD3A6" w14:textId="77777777" w:rsidR="00FF735E" w:rsidRDefault="00FF735E">
      <w:pPr>
        <w:pBdr>
          <w:top w:val="nil"/>
          <w:left w:val="nil"/>
          <w:bottom w:val="nil"/>
          <w:right w:val="nil"/>
          <w:between w:val="nil"/>
        </w:pBdr>
        <w:ind w:left="720"/>
        <w:rPr>
          <w:color w:val="000000"/>
        </w:rPr>
      </w:pPr>
    </w:p>
    <w:p w14:paraId="0F0D6019" w14:textId="77777777" w:rsidR="00FF735E" w:rsidRDefault="00000000">
      <w:pPr>
        <w:pBdr>
          <w:top w:val="nil"/>
          <w:left w:val="nil"/>
          <w:bottom w:val="nil"/>
          <w:right w:val="nil"/>
          <w:between w:val="nil"/>
        </w:pBdr>
        <w:ind w:left="720"/>
      </w:pPr>
      <w:r>
        <w:rPr>
          <w:color w:val="000000"/>
        </w:rPr>
        <w:t>The Tutor/Assessor provides feedback and assigns a grade to the student within a two-week timeframe, following the assessment criteria outlined in the Assignment Brief and Programme Specification.</w:t>
      </w:r>
    </w:p>
    <w:p w14:paraId="0F2C5BED" w14:textId="77777777" w:rsidR="00FF735E" w:rsidRDefault="00FF735E">
      <w:pPr>
        <w:pBdr>
          <w:top w:val="nil"/>
          <w:left w:val="nil"/>
          <w:bottom w:val="nil"/>
          <w:right w:val="nil"/>
          <w:between w:val="nil"/>
        </w:pBdr>
        <w:ind w:left="720"/>
        <w:rPr>
          <w:color w:val="000000"/>
        </w:rPr>
      </w:pPr>
    </w:p>
    <w:p w14:paraId="33CF5975" w14:textId="77777777" w:rsidR="00FF735E" w:rsidRDefault="00000000">
      <w:pPr>
        <w:numPr>
          <w:ilvl w:val="0"/>
          <w:numId w:val="7"/>
        </w:numPr>
        <w:pBdr>
          <w:top w:val="nil"/>
          <w:left w:val="nil"/>
          <w:bottom w:val="nil"/>
          <w:right w:val="nil"/>
          <w:between w:val="nil"/>
        </w:pBdr>
        <w:rPr>
          <w:b/>
          <w:color w:val="000000"/>
        </w:rPr>
      </w:pPr>
      <w:r>
        <w:rPr>
          <w:b/>
          <w:color w:val="000000"/>
        </w:rPr>
        <w:t>By the end of the third week:</w:t>
      </w:r>
    </w:p>
    <w:p w14:paraId="34A7A67C" w14:textId="77777777" w:rsidR="00FF735E" w:rsidRDefault="00FF735E">
      <w:pPr>
        <w:pBdr>
          <w:top w:val="nil"/>
          <w:left w:val="nil"/>
          <w:bottom w:val="nil"/>
          <w:right w:val="nil"/>
          <w:between w:val="nil"/>
        </w:pBdr>
        <w:ind w:left="720"/>
        <w:rPr>
          <w:color w:val="000000"/>
        </w:rPr>
      </w:pPr>
    </w:p>
    <w:p w14:paraId="1EAAB9BE" w14:textId="77777777" w:rsidR="00FF735E" w:rsidRDefault="00000000">
      <w:pPr>
        <w:pBdr>
          <w:top w:val="nil"/>
          <w:left w:val="nil"/>
          <w:bottom w:val="nil"/>
          <w:right w:val="nil"/>
          <w:between w:val="nil"/>
        </w:pBdr>
        <w:ind w:left="720"/>
      </w:pPr>
      <w:r>
        <w:rPr>
          <w:color w:val="000000"/>
        </w:rPr>
        <w:t>The College conducts sampling and internal verification/moderation of assessment work to ensure the reliability, fairness, consistency, and validity of all assessment decisions. Students receive their feedback and grade and can only appeal against them if they believe there was a procedural error, failure to make reasonable adjustments, or bias. Refer to the Appeals Policy and Procedures for further information.</w:t>
      </w:r>
    </w:p>
    <w:p w14:paraId="16A46792" w14:textId="77777777" w:rsidR="00FF735E" w:rsidRDefault="00FF735E"/>
    <w:p w14:paraId="3C2612B2" w14:textId="77777777" w:rsidR="00FF735E" w:rsidRDefault="00000000">
      <w:pPr>
        <w:pStyle w:val="Heading2"/>
        <w:ind w:left="792" w:hanging="432"/>
      </w:pPr>
      <w:bookmarkStart w:id="16" w:name="_heading=h.1ksv4uv" w:colFirst="0" w:colLast="0"/>
      <w:bookmarkEnd w:id="16"/>
      <w:r>
        <w:t>Resubmissions</w:t>
      </w:r>
    </w:p>
    <w:p w14:paraId="1BA81B85" w14:textId="77777777" w:rsidR="00FF735E" w:rsidRDefault="00FF735E"/>
    <w:p w14:paraId="1B348387" w14:textId="77777777" w:rsidR="00FF735E" w:rsidRDefault="00000000">
      <w:r>
        <w:t>If a student does not pass their final assessment, they can resubmit it typically within two weeks of receiving feedback. This allows students to review the feedback and make necessary corrections to pass. Late submissions are also accepted up until the resubmission deadline, but students will only be able to achieve a Pass grade for resubmissions or late submissions without a valid reason.</w:t>
      </w:r>
    </w:p>
    <w:p w14:paraId="48A68D16" w14:textId="77777777" w:rsidR="00FF735E" w:rsidRDefault="00FF735E"/>
    <w:p w14:paraId="387F63ED" w14:textId="77777777" w:rsidR="00FF735E" w:rsidRDefault="00000000">
      <w:pPr>
        <w:pStyle w:val="Heading2"/>
        <w:ind w:left="792" w:hanging="432"/>
      </w:pPr>
      <w:bookmarkStart w:id="17" w:name="_heading=h.44sinio" w:colFirst="0" w:colLast="0"/>
      <w:bookmarkEnd w:id="17"/>
      <w:r>
        <w:t>Retakes</w:t>
      </w:r>
    </w:p>
    <w:p w14:paraId="0A295A43" w14:textId="77777777" w:rsidR="00FF735E" w:rsidRDefault="00FF735E"/>
    <w:p w14:paraId="6F7863AD" w14:textId="77777777" w:rsidR="00FF735E" w:rsidRDefault="00000000">
      <w:r>
        <w:t>Students failing their resubmission will be required to retake the unit and complete a new assignment or exam at a different deadline. Retakes will be limited to a Pass grade. Additional class attendance and scheduling may be necessary for retaking the unit, potentially resulting in extra tuition costs and extended course completion timelines. It is advisable for students to pass on their initial attempts to avoid these additional steps.</w:t>
      </w:r>
    </w:p>
    <w:p w14:paraId="7894CB8C" w14:textId="77777777" w:rsidR="00FF735E" w:rsidRDefault="00FF735E"/>
    <w:p w14:paraId="7F51A2AE" w14:textId="77777777" w:rsidR="00FF735E" w:rsidRDefault="00000000">
      <w:pPr>
        <w:pStyle w:val="Heading2"/>
        <w:ind w:left="792" w:hanging="432"/>
      </w:pPr>
      <w:bookmarkStart w:id="18" w:name="_heading=h.2jxsxqh" w:colFirst="0" w:colLast="0"/>
      <w:bookmarkEnd w:id="18"/>
      <w:r>
        <w:t>Failure to Pass</w:t>
      </w:r>
    </w:p>
    <w:p w14:paraId="79DAF1E8" w14:textId="77777777" w:rsidR="00FF735E" w:rsidRDefault="00FF735E"/>
    <w:p w14:paraId="5F7F457E" w14:textId="77777777" w:rsidR="00FF735E" w:rsidRDefault="00000000">
      <w:r>
        <w:t>Students who consistently do not meet deadlines or pass required units may not be able to advance to the next academic level. This means that an HND student, for instance, would not receive their interim HNC or complete HND qualification if they fail to submit work on time. Although these students can still submit assignments and receive unit certificates, they will not be able to obtain the full qualification. The final decision will be made by the Assessment Board responsible for progression, assessment, or examinations.</w:t>
      </w:r>
    </w:p>
    <w:p w14:paraId="3099E87D" w14:textId="77777777" w:rsidR="00FF735E" w:rsidRDefault="00FF735E"/>
    <w:p w14:paraId="1B78C49A" w14:textId="77777777" w:rsidR="00FF735E" w:rsidRDefault="00000000">
      <w:pPr>
        <w:rPr>
          <w:b/>
          <w:sz w:val="24"/>
          <w:szCs w:val="24"/>
        </w:rPr>
      </w:pPr>
      <w:r>
        <w:br w:type="page"/>
      </w:r>
    </w:p>
    <w:p w14:paraId="031AFC79" w14:textId="77777777" w:rsidR="00FF735E" w:rsidRDefault="00000000">
      <w:pPr>
        <w:pStyle w:val="Heading2"/>
        <w:ind w:left="792" w:hanging="432"/>
      </w:pPr>
      <w:bookmarkStart w:id="19" w:name="_heading=h.z337ya" w:colFirst="0" w:colLast="0"/>
      <w:bookmarkEnd w:id="19"/>
      <w:r>
        <w:lastRenderedPageBreak/>
        <w:t>Grades</w:t>
      </w:r>
    </w:p>
    <w:p w14:paraId="3D546E19" w14:textId="77777777" w:rsidR="00FF735E" w:rsidRDefault="00FF735E"/>
    <w:p w14:paraId="6B107B24" w14:textId="77777777" w:rsidR="00FF735E" w:rsidRDefault="00000000">
      <w:r>
        <w:t>For Pearson BTEC HND courses, all grades are based upon the following:</w:t>
      </w:r>
    </w:p>
    <w:p w14:paraId="7250FE8C" w14:textId="77777777" w:rsidR="00FF735E" w:rsidRDefault="00FF735E"/>
    <w:p w14:paraId="28424569" w14:textId="77777777" w:rsidR="00FF735E" w:rsidRDefault="00000000">
      <w:r>
        <w:t xml:space="preserve">PASS </w:t>
      </w:r>
    </w:p>
    <w:p w14:paraId="116D8D10" w14:textId="77777777" w:rsidR="00FF735E" w:rsidRDefault="00000000">
      <w:r>
        <w:t>MERIT</w:t>
      </w:r>
    </w:p>
    <w:p w14:paraId="32C94FF7" w14:textId="77777777" w:rsidR="00FF735E" w:rsidRDefault="00000000">
      <w:r>
        <w:t>DISTINCTION</w:t>
      </w:r>
    </w:p>
    <w:p w14:paraId="700D9690" w14:textId="77777777" w:rsidR="00FF735E" w:rsidRDefault="00FF735E"/>
    <w:p w14:paraId="5455F85D" w14:textId="77777777" w:rsidR="00FF735E" w:rsidRDefault="00000000">
      <w:r>
        <w:t xml:space="preserve">Students who do not Pass are classified as REFERRED.  If they resubmit or retake, they can only achieve PASS for the </w:t>
      </w:r>
      <w:proofErr w:type="gramStart"/>
      <w:r>
        <w:t>particular unit</w:t>
      </w:r>
      <w:proofErr w:type="gramEnd"/>
      <w:r>
        <w:t>.</w:t>
      </w:r>
    </w:p>
    <w:p w14:paraId="0125F0C4" w14:textId="77777777" w:rsidR="00FF735E" w:rsidRDefault="00FF735E"/>
    <w:p w14:paraId="27922EAD" w14:textId="77777777" w:rsidR="00FF735E" w:rsidRDefault="00FF735E"/>
    <w:p w14:paraId="2E15616A" w14:textId="77777777" w:rsidR="00FF735E" w:rsidRDefault="00000000">
      <w:pPr>
        <w:pStyle w:val="Heading2"/>
        <w:ind w:left="792" w:hanging="432"/>
      </w:pPr>
      <w:bookmarkStart w:id="20" w:name="_heading=h.3j2qqm3" w:colFirst="0" w:colLast="0"/>
      <w:bookmarkEnd w:id="20"/>
      <w:r>
        <w:t>Compensatory Credit</w:t>
      </w:r>
    </w:p>
    <w:p w14:paraId="0546F830" w14:textId="77777777" w:rsidR="00FF735E" w:rsidRDefault="00FF735E"/>
    <w:p w14:paraId="0EAC0F03" w14:textId="77777777" w:rsidR="00FF735E" w:rsidRDefault="00FF735E"/>
    <w:p w14:paraId="79C89F72" w14:textId="77777777" w:rsidR="00FF735E" w:rsidRDefault="00000000">
      <w:r>
        <w:t>Students may receive compensatory credit for certain programs. In the case of Pearson BTEC HNDs, students can receive compensatory credit for one 15-credit unit in their first year after completing the HNC Level 4, and another in their second year after completing the HND Level 5. This allows them to pass their HNC in the first year even if they fail one 15-credit unit and pass their HND in the second year even if they fail one 15-credit unit. However, students cannot pass their HNC or HND if they fail more than one 15-credit unit at each level. For information on how to achieve an overall Merit or Distinction, please refer to the Pearson BTEC Assessment Guidelines.</w:t>
      </w:r>
    </w:p>
    <w:p w14:paraId="2099C733" w14:textId="77777777" w:rsidR="00FF735E" w:rsidRDefault="00FF735E"/>
    <w:p w14:paraId="467BA51A" w14:textId="77777777" w:rsidR="00FF735E" w:rsidRDefault="00000000">
      <w:pPr>
        <w:pStyle w:val="Heading2"/>
        <w:ind w:left="792" w:hanging="432"/>
      </w:pPr>
      <w:bookmarkStart w:id="21" w:name="_heading=h.1y810tw" w:colFirst="0" w:colLast="0"/>
      <w:bookmarkEnd w:id="21"/>
      <w:r>
        <w:t>Calculating Final Grade for HND</w:t>
      </w:r>
    </w:p>
    <w:p w14:paraId="1079AB6B" w14:textId="77777777" w:rsidR="00FF735E" w:rsidRDefault="00000000">
      <w:r>
        <w:t xml:space="preserve">The table below shows how final grades are calculated for HND qualifications.  </w:t>
      </w:r>
    </w:p>
    <w:p w14:paraId="26B1DA99" w14:textId="77777777" w:rsidR="00FF735E" w:rsidRDefault="00FF735E"/>
    <w:tbl>
      <w:tblPr>
        <w:tblStyle w:val="a8"/>
        <w:tblpPr w:leftFromText="180" w:rightFromText="180" w:vertAnchor="text" w:tblpY="14"/>
        <w:tblW w:w="6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1"/>
        <w:gridCol w:w="1916"/>
        <w:gridCol w:w="1482"/>
        <w:gridCol w:w="1930"/>
      </w:tblGrid>
      <w:tr w:rsidR="00FF735E" w14:paraId="2898C556" w14:textId="77777777">
        <w:tc>
          <w:tcPr>
            <w:tcW w:w="1481" w:type="dxa"/>
          </w:tcPr>
          <w:p w14:paraId="101BF84D" w14:textId="77777777" w:rsidR="00FF735E" w:rsidRDefault="00FF735E">
            <w:pPr>
              <w:rPr>
                <w:b/>
              </w:rPr>
            </w:pPr>
          </w:p>
        </w:tc>
        <w:tc>
          <w:tcPr>
            <w:tcW w:w="1916" w:type="dxa"/>
          </w:tcPr>
          <w:p w14:paraId="1C1157D9" w14:textId="77777777" w:rsidR="00FF735E" w:rsidRDefault="00000000">
            <w:pPr>
              <w:rPr>
                <w:b/>
              </w:rPr>
            </w:pPr>
            <w:r>
              <w:rPr>
                <w:b/>
              </w:rPr>
              <w:t>Points per Credit</w:t>
            </w:r>
          </w:p>
        </w:tc>
        <w:tc>
          <w:tcPr>
            <w:tcW w:w="1482" w:type="dxa"/>
          </w:tcPr>
          <w:p w14:paraId="6063EA4F" w14:textId="77777777" w:rsidR="00FF735E" w:rsidRDefault="00FF735E">
            <w:pPr>
              <w:rPr>
                <w:b/>
              </w:rPr>
            </w:pPr>
          </w:p>
        </w:tc>
        <w:tc>
          <w:tcPr>
            <w:tcW w:w="1930" w:type="dxa"/>
          </w:tcPr>
          <w:p w14:paraId="7420C7AA" w14:textId="77777777" w:rsidR="00FF735E" w:rsidRDefault="00000000">
            <w:pPr>
              <w:rPr>
                <w:b/>
              </w:rPr>
            </w:pPr>
            <w:r>
              <w:rPr>
                <w:b/>
              </w:rPr>
              <w:t>Point Boundaries</w:t>
            </w:r>
          </w:p>
        </w:tc>
      </w:tr>
      <w:tr w:rsidR="00FF735E" w14:paraId="62A24347" w14:textId="77777777">
        <w:tc>
          <w:tcPr>
            <w:tcW w:w="1481" w:type="dxa"/>
          </w:tcPr>
          <w:p w14:paraId="07D74265" w14:textId="77777777" w:rsidR="00FF735E" w:rsidRDefault="00000000">
            <w:r>
              <w:t>Pass</w:t>
            </w:r>
          </w:p>
        </w:tc>
        <w:tc>
          <w:tcPr>
            <w:tcW w:w="1916" w:type="dxa"/>
          </w:tcPr>
          <w:p w14:paraId="681AE179" w14:textId="77777777" w:rsidR="00FF735E" w:rsidRDefault="00000000">
            <w:pPr>
              <w:jc w:val="center"/>
            </w:pPr>
            <w:r>
              <w:t>4</w:t>
            </w:r>
          </w:p>
        </w:tc>
        <w:tc>
          <w:tcPr>
            <w:tcW w:w="1482" w:type="dxa"/>
          </w:tcPr>
          <w:p w14:paraId="6A48D56B" w14:textId="77777777" w:rsidR="00FF735E" w:rsidRDefault="00000000">
            <w:r>
              <w:t>Pass</w:t>
            </w:r>
          </w:p>
        </w:tc>
        <w:tc>
          <w:tcPr>
            <w:tcW w:w="1930" w:type="dxa"/>
          </w:tcPr>
          <w:p w14:paraId="07304A62" w14:textId="77777777" w:rsidR="00FF735E" w:rsidRDefault="00000000">
            <w:r>
              <w:t>420 - 599</w:t>
            </w:r>
          </w:p>
        </w:tc>
      </w:tr>
      <w:tr w:rsidR="00FF735E" w14:paraId="165252C5" w14:textId="77777777">
        <w:tc>
          <w:tcPr>
            <w:tcW w:w="1481" w:type="dxa"/>
          </w:tcPr>
          <w:p w14:paraId="05FBE50C" w14:textId="77777777" w:rsidR="00FF735E" w:rsidRDefault="00000000">
            <w:r>
              <w:t>Merit</w:t>
            </w:r>
          </w:p>
        </w:tc>
        <w:tc>
          <w:tcPr>
            <w:tcW w:w="1916" w:type="dxa"/>
          </w:tcPr>
          <w:p w14:paraId="2B8EA034" w14:textId="77777777" w:rsidR="00FF735E" w:rsidRDefault="00000000">
            <w:pPr>
              <w:jc w:val="center"/>
            </w:pPr>
            <w:r>
              <w:t>6</w:t>
            </w:r>
          </w:p>
        </w:tc>
        <w:tc>
          <w:tcPr>
            <w:tcW w:w="1482" w:type="dxa"/>
          </w:tcPr>
          <w:p w14:paraId="19A4B021" w14:textId="77777777" w:rsidR="00FF735E" w:rsidRDefault="00000000">
            <w:r>
              <w:t xml:space="preserve">Merit </w:t>
            </w:r>
          </w:p>
        </w:tc>
        <w:tc>
          <w:tcPr>
            <w:tcW w:w="1930" w:type="dxa"/>
          </w:tcPr>
          <w:p w14:paraId="5E058F2B" w14:textId="77777777" w:rsidR="00FF735E" w:rsidRDefault="00000000">
            <w:r>
              <w:t>600 - 839</w:t>
            </w:r>
          </w:p>
        </w:tc>
      </w:tr>
      <w:tr w:rsidR="00FF735E" w14:paraId="7BD343E4" w14:textId="77777777">
        <w:tc>
          <w:tcPr>
            <w:tcW w:w="1481" w:type="dxa"/>
          </w:tcPr>
          <w:p w14:paraId="6F3E037D" w14:textId="77777777" w:rsidR="00FF735E" w:rsidRDefault="00000000">
            <w:r>
              <w:t>Distinction</w:t>
            </w:r>
          </w:p>
        </w:tc>
        <w:tc>
          <w:tcPr>
            <w:tcW w:w="1916" w:type="dxa"/>
          </w:tcPr>
          <w:p w14:paraId="3918CDE5" w14:textId="77777777" w:rsidR="00FF735E" w:rsidRDefault="00000000">
            <w:pPr>
              <w:jc w:val="center"/>
            </w:pPr>
            <w:r>
              <w:t>8</w:t>
            </w:r>
          </w:p>
        </w:tc>
        <w:tc>
          <w:tcPr>
            <w:tcW w:w="1482" w:type="dxa"/>
          </w:tcPr>
          <w:p w14:paraId="079F8ADC" w14:textId="77777777" w:rsidR="00FF735E" w:rsidRDefault="00000000">
            <w:r>
              <w:t>Distinction</w:t>
            </w:r>
          </w:p>
        </w:tc>
        <w:tc>
          <w:tcPr>
            <w:tcW w:w="1930" w:type="dxa"/>
          </w:tcPr>
          <w:p w14:paraId="0E9EC409" w14:textId="77777777" w:rsidR="00FF735E" w:rsidRDefault="00000000">
            <w:r>
              <w:t>840 +</w:t>
            </w:r>
          </w:p>
        </w:tc>
      </w:tr>
    </w:tbl>
    <w:p w14:paraId="72E06BA0" w14:textId="77777777" w:rsidR="00FF735E" w:rsidRDefault="00FF735E"/>
    <w:p w14:paraId="268DC540" w14:textId="77777777" w:rsidR="00FF735E" w:rsidRDefault="00FF735E"/>
    <w:p w14:paraId="27D4DFEC" w14:textId="77777777" w:rsidR="00FF735E" w:rsidRDefault="00FF735E"/>
    <w:p w14:paraId="2C9F3900" w14:textId="77777777" w:rsidR="00FF735E" w:rsidRDefault="00FF735E"/>
    <w:p w14:paraId="735A8DCA" w14:textId="77777777" w:rsidR="00FF735E" w:rsidRDefault="00FF735E"/>
    <w:p w14:paraId="73FE6196" w14:textId="77777777" w:rsidR="00FF735E" w:rsidRDefault="00FF735E"/>
    <w:p w14:paraId="00F2A438" w14:textId="77777777" w:rsidR="00FF735E" w:rsidRDefault="00FF735E"/>
    <w:p w14:paraId="77929B08" w14:textId="77777777" w:rsidR="00FF735E" w:rsidRDefault="00000000">
      <w:r>
        <w:t xml:space="preserve">In this system, the number of credits earned for each unit passed, Merit, or Distinction achieved is multiplied by a specific factor. For passing a unit, the credits are multiplied by 4; for achieving a Merit, they are multiplied by 6, and for achieving a Distinction, they are multiplied by 8. The first year of study involves completing 8 HNC L4 units, each valued at 15 credits, while the second year includes 7 HND L5 units, also valued at 15 credits each, except for the Research Project which is worth 30 credits. </w:t>
      </w:r>
    </w:p>
    <w:p w14:paraId="4E5285EE" w14:textId="77777777" w:rsidR="00FF735E" w:rsidRDefault="00FF735E"/>
    <w:p w14:paraId="4EE8E2C9" w14:textId="77777777" w:rsidR="00FF735E" w:rsidRDefault="00000000">
      <w:r>
        <w:t>For example, passing a 15-credit unit would result in earning 60 points (4 x 15), achieving a Merit would result in 90 points (6 x 15), and achieving a Distinction would result in 120 points (8 x 15). At the end of the first year, the total points earned from all HNC units are added together to determine a final grade based on the total points accumulated.</w:t>
      </w:r>
    </w:p>
    <w:p w14:paraId="5751255D" w14:textId="77777777" w:rsidR="00FF735E" w:rsidRDefault="00FF735E"/>
    <w:p w14:paraId="5F1353A6" w14:textId="77777777" w:rsidR="00FF735E" w:rsidRDefault="00000000">
      <w:r>
        <w:br w:type="page"/>
      </w:r>
    </w:p>
    <w:p w14:paraId="037CF29B" w14:textId="77777777" w:rsidR="00FF735E" w:rsidRDefault="00000000">
      <w:r>
        <w:lastRenderedPageBreak/>
        <w:t>If students Pass HNC, they can progress to the HND in the second year and counting starts from zero.  Students may progress to their second year if they only pass 6 HNC units.  However, they will need to pass a 7</w:t>
      </w:r>
      <w:r>
        <w:rPr>
          <w:vertAlign w:val="superscript"/>
        </w:rPr>
        <w:t>th</w:t>
      </w:r>
      <w:r>
        <w:t xml:space="preserve"> HNC unit before they can complete and pass their HND in the second year.  They can fail the 8</w:t>
      </w:r>
      <w:r>
        <w:rPr>
          <w:vertAlign w:val="superscript"/>
        </w:rPr>
        <w:t>th</w:t>
      </w:r>
      <w:r>
        <w:t xml:space="preserve"> unit and receive compensatory credit.  </w:t>
      </w:r>
    </w:p>
    <w:p w14:paraId="6B73DBFA" w14:textId="77777777" w:rsidR="00FF735E" w:rsidRDefault="00FF735E"/>
    <w:p w14:paraId="56CB0473" w14:textId="77777777" w:rsidR="00FF735E" w:rsidRDefault="00FF735E"/>
    <w:p w14:paraId="45768891" w14:textId="77777777" w:rsidR="00FF735E" w:rsidRDefault="00000000">
      <w:r>
        <w:t xml:space="preserve">Students who successfully complete their Higher National Certificate (HNC) can advance to the Higher National Diploma (HND) programme in the following year, starting fresh in terms of counting their progress. If a student passes at least 6 out of the required 7 HNC units, they can move on to their second year of study, with the condition that they must pass the remaining unit by the end of the second year to obtain their HND. </w:t>
      </w:r>
    </w:p>
    <w:p w14:paraId="6F6205E1" w14:textId="77777777" w:rsidR="00FF735E" w:rsidRDefault="00FF735E"/>
    <w:p w14:paraId="1E887576" w14:textId="77777777" w:rsidR="00FF735E" w:rsidRDefault="00000000">
      <w:r>
        <w:t>Additionally, students have the option of failing the one out of eight units and still receiving compensatory credit. The final grade for the HND is determined by the total points accumulated at the end of the second year, excluding any points earned in the first year of study.</w:t>
      </w:r>
    </w:p>
    <w:p w14:paraId="740EF8EB" w14:textId="77777777" w:rsidR="00FF735E" w:rsidRDefault="00FF735E"/>
    <w:p w14:paraId="7D705364" w14:textId="77777777" w:rsidR="00FF735E" w:rsidRDefault="00000000">
      <w:pPr>
        <w:pStyle w:val="Heading2"/>
        <w:ind w:left="792" w:hanging="432"/>
      </w:pPr>
      <w:bookmarkStart w:id="22" w:name="_heading=h.4i7ojhp" w:colFirst="0" w:colLast="0"/>
      <w:bookmarkEnd w:id="22"/>
      <w:r>
        <w:t xml:space="preserve">Publishing Grades </w:t>
      </w:r>
    </w:p>
    <w:p w14:paraId="593C257A" w14:textId="77777777" w:rsidR="00FF735E" w:rsidRDefault="00FF735E"/>
    <w:p w14:paraId="7376A6CA" w14:textId="77777777" w:rsidR="00FF735E" w:rsidRDefault="00000000">
      <w:r>
        <w:t>It is crucial for students to recognize that even though they receive feedback with grades that have been confirmed internally, those grades could still be changed by the Awarding Organisation based on decisions made by the External Examiner and TEC Assessment Board. Therefore, the grades given by the College to students should be considered as preliminary unless and until they have been approved by the External Examiner and Assessment Board.   This means that all grades are provisional until they have been published after the End of Session Assessment Board that meets usually in week 22 of the second semester, which is six weeks after the end of the second semester and two weeks after the EE visit.</w:t>
      </w:r>
    </w:p>
    <w:sectPr w:rsidR="00FF735E">
      <w:pgSz w:w="11900" w:h="16840"/>
      <w:pgMar w:top="992" w:right="1270" w:bottom="2552" w:left="992"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DC214" w14:textId="77777777" w:rsidR="00DF6426" w:rsidRDefault="00DF6426">
      <w:r>
        <w:separator/>
      </w:r>
    </w:p>
  </w:endnote>
  <w:endnote w:type="continuationSeparator" w:id="0">
    <w:p w14:paraId="063463F8" w14:textId="77777777" w:rsidR="00DF6426" w:rsidRDefault="00DF6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805F5666-949D-8347-80B0-D5BDD5ADD40D}"/>
  </w:font>
  <w:font w:name="Courier New">
    <w:panose1 w:val="02070309020205020404"/>
    <w:charset w:val="00"/>
    <w:family w:val="modern"/>
    <w:pitch w:val="fixed"/>
    <w:sig w:usb0="E0002EFF" w:usb1="C0007843" w:usb2="00000009" w:usb3="00000000" w:csb0="000001FF" w:csb1="00000000"/>
    <w:embedRegular r:id="rId2" w:fontKey="{E7E6A7C9-096D-9242-A453-C6F2E3F65003}"/>
  </w:font>
  <w:font w:name="Calibri">
    <w:panose1 w:val="020F0502020204030204"/>
    <w:charset w:val="00"/>
    <w:family w:val="swiss"/>
    <w:pitch w:val="variable"/>
    <w:sig w:usb0="E4002EFF" w:usb1="C200247B" w:usb2="00000009" w:usb3="00000000" w:csb0="000001FF" w:csb1="00000000"/>
    <w:embedRegular r:id="rId3" w:fontKey="{39759C12-6B3B-0E4A-8124-C05E2F483005}"/>
    <w:embedBold r:id="rId4" w:fontKey="{D0639C7B-DB93-2243-B361-F603586B13D3}"/>
    <w:embedBoldItalic r:id="rId5" w:fontKey="{EAFB169E-0EF8-C344-BEC3-0DAA2CB4FD87}"/>
  </w:font>
  <w:font w:name="Times New Roman">
    <w:panose1 w:val="02020603050405020304"/>
    <w:charset w:val="00"/>
    <w:family w:val="roman"/>
    <w:pitch w:val="variable"/>
    <w:sig w:usb0="E0002EFF" w:usb1="C000785B" w:usb2="00000009" w:usb3="00000000" w:csb0="000001FF" w:csb1="00000000"/>
    <w:embedRegular r:id="rId6" w:fontKey="{7EECD73F-B712-CA4E-AC52-155A5251AE1A}"/>
    <w:embedBold r:id="rId7" w:fontKey="{6A9322B8-45FE-864C-9862-7CB0A4FE2625}"/>
  </w:font>
  <w:font w:name="Arial">
    <w:panose1 w:val="020B0604020202020204"/>
    <w:charset w:val="00"/>
    <w:family w:val="swiss"/>
    <w:pitch w:val="variable"/>
    <w:sig w:usb0="E0002AFF" w:usb1="C0007843" w:usb2="00000009" w:usb3="00000000" w:csb0="000001FF" w:csb1="00000000"/>
    <w:embedRegular r:id="rId8" w:fontKey="{928B899B-A756-B14C-A55B-91EACBC26A5A}"/>
    <w:embedBold r:id="rId9" w:fontKey="{CD478EDC-F1AC-3D40-97E5-9E9D99192229}"/>
  </w:font>
  <w:font w:name="Georgia">
    <w:panose1 w:val="02040502050405020303"/>
    <w:charset w:val="00"/>
    <w:family w:val="roman"/>
    <w:pitch w:val="variable"/>
    <w:sig w:usb0="00000287" w:usb1="00000000" w:usb2="00000000" w:usb3="00000000" w:csb0="0000009F" w:csb1="00000000"/>
    <w:embedRegular r:id="rId10" w:fontKey="{0F234E75-741A-1344-8F11-082699967349}"/>
    <w:embedItalic r:id="rId11" w:fontKey="{A217B6C6-5FD5-4840-95E7-FF95F62580EF}"/>
  </w:font>
  <w:font w:name="Gadugi">
    <w:panose1 w:val="020B0502040204020203"/>
    <w:charset w:val="00"/>
    <w:family w:val="swiss"/>
    <w:pitch w:val="variable"/>
    <w:sig w:usb0="80000003" w:usb1="02000000" w:usb2="00003000" w:usb3="00000000" w:csb0="00000001" w:csb1="00000000"/>
    <w:embedRegular r:id="rId12" w:fontKey="{52BB880B-96C6-364B-9D26-EEB469955F09}"/>
    <w:embedBold r:id="rId13" w:fontKey="{A62A7DB9-8FE7-404C-9287-8BA78841DC27}"/>
  </w:font>
  <w:font w:name="Calibri Light">
    <w:panose1 w:val="020F0302020204030204"/>
    <w:charset w:val="00"/>
    <w:family w:val="swiss"/>
    <w:pitch w:val="variable"/>
    <w:sig w:usb0="E0002AFF" w:usb1="C000247B" w:usb2="00000009" w:usb3="00000000" w:csb0="000001FF" w:csb1="00000000"/>
    <w:embedRegular r:id="rId14" w:fontKey="{F070BF1A-5A0C-904C-A168-3D5F34D446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5735C" w14:textId="17C56500" w:rsidR="00FF735E" w:rsidRDefault="00000000">
    <w:pPr>
      <w:pBdr>
        <w:top w:val="nil"/>
        <w:left w:val="nil"/>
        <w:bottom w:val="nil"/>
        <w:right w:val="nil"/>
        <w:between w:val="nil"/>
      </w:pBdr>
      <w:tabs>
        <w:tab w:val="center" w:pos="4513"/>
        <w:tab w:val="right" w:pos="9026"/>
      </w:tabs>
    </w:pPr>
    <w:r>
      <w:rPr>
        <w:color w:val="000000"/>
      </w:rPr>
      <w:t xml:space="preserve">Trent Education Centre </w:t>
    </w:r>
    <w:r>
      <w:t>-</w:t>
    </w:r>
    <w:r>
      <w:rPr>
        <w:color w:val="000000"/>
      </w:rPr>
      <w:t xml:space="preserve">Assessment Policy - </w:t>
    </w:r>
    <w:r>
      <w:t>V02 – June 2025</w:t>
    </w:r>
    <w:r>
      <w:rPr>
        <w:color w:val="000000"/>
      </w:rPr>
      <w:tab/>
      <w:t xml:space="preserve">   </w:t>
    </w:r>
    <w:r>
      <w:fldChar w:fldCharType="begin"/>
    </w:r>
    <w:r>
      <w:instrText>PAGE</w:instrText>
    </w:r>
    <w:r>
      <w:fldChar w:fldCharType="separate"/>
    </w:r>
    <w:r w:rsidR="003A0F72">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74535" w14:textId="17937711" w:rsidR="00FF735E" w:rsidRDefault="00000000">
    <w:pPr>
      <w:pBdr>
        <w:top w:val="nil"/>
        <w:left w:val="nil"/>
        <w:bottom w:val="nil"/>
        <w:right w:val="nil"/>
        <w:between w:val="nil"/>
      </w:pBdr>
      <w:tabs>
        <w:tab w:val="center" w:pos="4513"/>
        <w:tab w:val="right" w:pos="9026"/>
      </w:tabs>
      <w:rPr>
        <w:color w:val="000000"/>
      </w:rPr>
    </w:pPr>
    <w:r>
      <w:rPr>
        <w:color w:val="000000"/>
      </w:rPr>
      <w:t xml:space="preserve">Trent Education Centre </w:t>
    </w:r>
    <w:r>
      <w:t>-</w:t>
    </w:r>
    <w:r>
      <w:rPr>
        <w:color w:val="000000"/>
      </w:rPr>
      <w:t xml:space="preserve">Assessment Policy </w:t>
    </w:r>
    <w:r w:rsidR="003A0F72">
      <w:rPr>
        <w:color w:val="000000"/>
      </w:rPr>
      <w:t>–</w:t>
    </w:r>
    <w:r>
      <w:rPr>
        <w:color w:val="000000"/>
      </w:rPr>
      <w:t xml:space="preserve"> V</w:t>
    </w:r>
    <w:r w:rsidR="003A0F72">
      <w:t>2</w:t>
    </w:r>
    <w:r>
      <w:rPr>
        <w:color w:val="000000"/>
      </w:rPr>
      <w:t xml:space="preserve"> – </w:t>
    </w:r>
    <w:r>
      <w:t>June 2025</w:t>
    </w:r>
    <w:r>
      <w:rPr>
        <w:color w:val="000000"/>
      </w:rPr>
      <w:tab/>
    </w:r>
    <w:r>
      <w:rPr>
        <w:color w:val="000000"/>
      </w:rPr>
      <w:fldChar w:fldCharType="begin"/>
    </w:r>
    <w:r>
      <w:rPr>
        <w:color w:val="000000"/>
      </w:rPr>
      <w:instrText>PAGE</w:instrText>
    </w:r>
    <w:r>
      <w:rPr>
        <w:color w:val="000000"/>
      </w:rPr>
      <w:fldChar w:fldCharType="separate"/>
    </w:r>
    <w:r w:rsidR="003A0F72">
      <w:rPr>
        <w:noProof/>
        <w:color w:val="000000"/>
      </w:rPr>
      <w:t>1</w:t>
    </w:r>
    <w:r>
      <w:rPr>
        <w:color w:val="000000"/>
      </w:rPr>
      <w:fldChar w:fldCharType="end"/>
    </w:r>
    <w:r>
      <w:rPr>
        <w:color w:val="000000"/>
      </w:rPr>
      <w:t xml:space="preserve">   </w:t>
    </w:r>
  </w:p>
  <w:p w14:paraId="0966F1E7" w14:textId="77777777" w:rsidR="00FF735E" w:rsidRDefault="00FF735E">
    <w:pPr>
      <w:pBdr>
        <w:top w:val="nil"/>
        <w:left w:val="nil"/>
        <w:bottom w:val="nil"/>
        <w:right w:val="nil"/>
        <w:between w:val="nil"/>
      </w:pBdr>
      <w:tabs>
        <w:tab w:val="center" w:pos="4513"/>
        <w:tab w:val="right" w:pos="9026"/>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099B4" w14:textId="77777777" w:rsidR="00DF6426" w:rsidRDefault="00DF6426">
      <w:r>
        <w:separator/>
      </w:r>
    </w:p>
  </w:footnote>
  <w:footnote w:type="continuationSeparator" w:id="0">
    <w:p w14:paraId="5A906F17" w14:textId="77777777" w:rsidR="00DF6426" w:rsidRDefault="00DF6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EB5B1" w14:textId="77777777" w:rsidR="00FF735E" w:rsidRDefault="00FF735E">
    <w:pPr>
      <w:pBdr>
        <w:top w:val="nil"/>
        <w:left w:val="nil"/>
        <w:bottom w:val="nil"/>
        <w:right w:val="nil"/>
        <w:between w:val="nil"/>
      </w:pBdr>
      <w:tabs>
        <w:tab w:val="center" w:pos="4513"/>
        <w:tab w:val="right" w:pos="9026"/>
      </w:tabs>
      <w:rPr>
        <w:color w:val="000000"/>
      </w:rPr>
    </w:pPr>
  </w:p>
  <w:p w14:paraId="1BFD2B2F" w14:textId="77777777" w:rsidR="00FF735E" w:rsidRDefault="00FF735E">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EE4BC" w14:textId="77777777" w:rsidR="00FF735E" w:rsidRDefault="00FF735E">
    <w:pPr>
      <w:pBdr>
        <w:top w:val="nil"/>
        <w:left w:val="nil"/>
        <w:bottom w:val="nil"/>
        <w:right w:val="nil"/>
        <w:between w:val="nil"/>
      </w:pBdr>
      <w:tabs>
        <w:tab w:val="center" w:pos="4513"/>
        <w:tab w:val="right" w:pos="9026"/>
      </w:tabs>
      <w:rPr>
        <w:color w:val="000000"/>
      </w:rPr>
    </w:pPr>
  </w:p>
  <w:p w14:paraId="41A9F02A" w14:textId="77777777" w:rsidR="00FF735E" w:rsidRDefault="00FF735E">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54C69"/>
    <w:multiLevelType w:val="multilevel"/>
    <w:tmpl w:val="215C0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AC30BE"/>
    <w:multiLevelType w:val="multilevel"/>
    <w:tmpl w:val="69C87BB4"/>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0CF39C3"/>
    <w:multiLevelType w:val="multilevel"/>
    <w:tmpl w:val="7A546A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38E00C0"/>
    <w:multiLevelType w:val="multilevel"/>
    <w:tmpl w:val="DD00CE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A5E67FF"/>
    <w:multiLevelType w:val="multilevel"/>
    <w:tmpl w:val="C0564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A8C58F4"/>
    <w:multiLevelType w:val="multilevel"/>
    <w:tmpl w:val="A5CAC7DA"/>
    <w:lvl w:ilvl="0">
      <w:start w:val="1"/>
      <w:numFmt w:val="decimal"/>
      <w:pStyle w:val="Styl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2574D86"/>
    <w:multiLevelType w:val="multilevel"/>
    <w:tmpl w:val="B636B2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3DB7845"/>
    <w:multiLevelType w:val="multilevel"/>
    <w:tmpl w:val="7AC0A3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BAC57C5"/>
    <w:multiLevelType w:val="multilevel"/>
    <w:tmpl w:val="C6DA2B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59415490">
    <w:abstractNumId w:val="1"/>
  </w:num>
  <w:num w:numId="2" w16cid:durableId="952982008">
    <w:abstractNumId w:val="6"/>
  </w:num>
  <w:num w:numId="3" w16cid:durableId="1906448157">
    <w:abstractNumId w:val="4"/>
  </w:num>
  <w:num w:numId="4" w16cid:durableId="928470373">
    <w:abstractNumId w:val="7"/>
  </w:num>
  <w:num w:numId="5" w16cid:durableId="1583173602">
    <w:abstractNumId w:val="3"/>
  </w:num>
  <w:num w:numId="6" w16cid:durableId="682826121">
    <w:abstractNumId w:val="0"/>
  </w:num>
  <w:num w:numId="7" w16cid:durableId="1109590797">
    <w:abstractNumId w:val="8"/>
  </w:num>
  <w:num w:numId="8" w16cid:durableId="1435858561">
    <w:abstractNumId w:val="2"/>
  </w:num>
  <w:num w:numId="9" w16cid:durableId="13400865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35E"/>
    <w:rsid w:val="001778AD"/>
    <w:rsid w:val="00291661"/>
    <w:rsid w:val="003A0F72"/>
    <w:rsid w:val="005340C6"/>
    <w:rsid w:val="00DF6426"/>
    <w:rsid w:val="00FF735E"/>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ecimalSymbol w:val="."/>
  <w:listSeparator w:val=","/>
  <w14:docId w14:val="07B076AC"/>
  <w15:docId w15:val="{13BA52C5-A151-9D47-849F-E988C19FB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605"/>
  </w:style>
  <w:style w:type="paragraph" w:styleId="Heading1">
    <w:name w:val="heading 1"/>
    <w:basedOn w:val="ListParagraph"/>
    <w:next w:val="Normal"/>
    <w:link w:val="Heading1Char"/>
    <w:uiPriority w:val="9"/>
    <w:qFormat/>
    <w:rsid w:val="00E94036"/>
    <w:pPr>
      <w:numPr>
        <w:numId w:val="1"/>
      </w:numPr>
      <w:jc w:val="both"/>
      <w:outlineLvl w:val="0"/>
    </w:pPr>
    <w:rPr>
      <w:b/>
      <w:bCs/>
      <w:sz w:val="28"/>
      <w:szCs w:val="28"/>
    </w:rPr>
  </w:style>
  <w:style w:type="paragraph" w:styleId="Heading2">
    <w:name w:val="heading 2"/>
    <w:basedOn w:val="Heading1"/>
    <w:next w:val="Normal"/>
    <w:link w:val="Heading2Char"/>
    <w:uiPriority w:val="9"/>
    <w:unhideWhenUsed/>
    <w:qFormat/>
    <w:rsid w:val="003E4609"/>
    <w:pPr>
      <w:numPr>
        <w:ilvl w:val="1"/>
      </w:numPr>
      <w:ind w:left="567" w:hanging="567"/>
      <w:outlineLvl w:val="1"/>
    </w:pPr>
    <w:rPr>
      <w:sz w:val="24"/>
    </w:rPr>
  </w:style>
  <w:style w:type="paragraph" w:styleId="Heading3">
    <w:name w:val="heading 3"/>
    <w:basedOn w:val="Heading2"/>
    <w:next w:val="Normal"/>
    <w:link w:val="Heading3Char"/>
    <w:uiPriority w:val="9"/>
    <w:semiHidden/>
    <w:unhideWhenUsed/>
    <w:qFormat/>
    <w:rsid w:val="00AD720A"/>
    <w:pPr>
      <w:numPr>
        <w:ilvl w:val="2"/>
      </w:numPr>
      <w:ind w:left="993" w:hanging="426"/>
      <w:outlineLvl w:val="2"/>
    </w:p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4F1A49"/>
    <w:pPr>
      <w:autoSpaceDE w:val="0"/>
      <w:autoSpaceDN w:val="0"/>
      <w:adjustRightInd w:val="0"/>
    </w:pPr>
    <w:rPr>
      <w:color w:val="000000"/>
      <w:lang w:val="en-US"/>
    </w:rPr>
  </w:style>
  <w:style w:type="table" w:styleId="TableGrid">
    <w:name w:val="Table Grid"/>
    <w:basedOn w:val="TableNormal"/>
    <w:uiPriority w:val="59"/>
    <w:rsid w:val="007F1C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B218D"/>
    <w:rPr>
      <w:color w:val="0563C1" w:themeColor="hyperlink"/>
      <w:u w:val="single"/>
    </w:rPr>
  </w:style>
  <w:style w:type="paragraph" w:styleId="PlainText">
    <w:name w:val="Plain Text"/>
    <w:basedOn w:val="Normal"/>
    <w:link w:val="PlainTextChar"/>
    <w:uiPriority w:val="99"/>
    <w:unhideWhenUsed/>
    <w:rsid w:val="008B218D"/>
    <w:rPr>
      <w:szCs w:val="21"/>
    </w:rPr>
  </w:style>
  <w:style w:type="character" w:customStyle="1" w:styleId="PlainTextChar">
    <w:name w:val="Plain Text Char"/>
    <w:basedOn w:val="DefaultParagraphFont"/>
    <w:link w:val="PlainText"/>
    <w:uiPriority w:val="99"/>
    <w:rsid w:val="008B218D"/>
    <w:rPr>
      <w:rFonts w:ascii="Calibri" w:hAnsi="Calibri"/>
      <w:sz w:val="22"/>
      <w:szCs w:val="21"/>
    </w:rPr>
  </w:style>
  <w:style w:type="paragraph" w:styleId="Header">
    <w:name w:val="header"/>
    <w:basedOn w:val="Normal"/>
    <w:link w:val="HeaderChar"/>
    <w:uiPriority w:val="99"/>
    <w:unhideWhenUsed/>
    <w:rsid w:val="008B218D"/>
    <w:pPr>
      <w:tabs>
        <w:tab w:val="center" w:pos="4513"/>
        <w:tab w:val="right" w:pos="9026"/>
      </w:tabs>
    </w:pPr>
  </w:style>
  <w:style w:type="character" w:customStyle="1" w:styleId="HeaderChar">
    <w:name w:val="Header Char"/>
    <w:basedOn w:val="DefaultParagraphFont"/>
    <w:link w:val="Header"/>
    <w:uiPriority w:val="99"/>
    <w:rsid w:val="008B218D"/>
  </w:style>
  <w:style w:type="paragraph" w:styleId="Footer">
    <w:name w:val="footer"/>
    <w:basedOn w:val="Normal"/>
    <w:link w:val="FooterChar"/>
    <w:uiPriority w:val="99"/>
    <w:unhideWhenUsed/>
    <w:rsid w:val="008B218D"/>
    <w:pPr>
      <w:tabs>
        <w:tab w:val="center" w:pos="4513"/>
        <w:tab w:val="right" w:pos="9026"/>
      </w:tabs>
    </w:pPr>
  </w:style>
  <w:style w:type="character" w:customStyle="1" w:styleId="FooterChar">
    <w:name w:val="Footer Char"/>
    <w:basedOn w:val="DefaultParagraphFont"/>
    <w:link w:val="Footer"/>
    <w:uiPriority w:val="99"/>
    <w:rsid w:val="008B218D"/>
  </w:style>
  <w:style w:type="paragraph" w:styleId="ListParagraph">
    <w:name w:val="List Paragraph"/>
    <w:basedOn w:val="Normal"/>
    <w:link w:val="ListParagraphChar"/>
    <w:uiPriority w:val="34"/>
    <w:qFormat/>
    <w:rsid w:val="004F6CF1"/>
    <w:pPr>
      <w:ind w:left="720"/>
      <w:contextualSpacing/>
    </w:pPr>
  </w:style>
  <w:style w:type="paragraph" w:styleId="BalloonText">
    <w:name w:val="Balloon Text"/>
    <w:basedOn w:val="Normal"/>
    <w:link w:val="BalloonTextChar"/>
    <w:uiPriority w:val="99"/>
    <w:semiHidden/>
    <w:unhideWhenUsed/>
    <w:rsid w:val="00E91D9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91D90"/>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FA384C"/>
    <w:rPr>
      <w:color w:val="605E5C"/>
      <w:shd w:val="clear" w:color="auto" w:fill="E1DFDD"/>
    </w:rPr>
  </w:style>
  <w:style w:type="character" w:styleId="FollowedHyperlink">
    <w:name w:val="FollowedHyperlink"/>
    <w:basedOn w:val="DefaultParagraphFont"/>
    <w:uiPriority w:val="99"/>
    <w:semiHidden/>
    <w:unhideWhenUsed/>
    <w:rsid w:val="00FA384C"/>
    <w:rPr>
      <w:color w:val="954F72" w:themeColor="followedHyperlink"/>
      <w:u w:val="single"/>
    </w:rPr>
  </w:style>
  <w:style w:type="character" w:customStyle="1" w:styleId="Heading1Char">
    <w:name w:val="Heading 1 Char"/>
    <w:basedOn w:val="DefaultParagraphFont"/>
    <w:link w:val="Heading1"/>
    <w:uiPriority w:val="9"/>
    <w:rsid w:val="00E94036"/>
    <w:rPr>
      <w:b/>
      <w:bCs/>
      <w:sz w:val="28"/>
      <w:szCs w:val="28"/>
    </w:rPr>
  </w:style>
  <w:style w:type="paragraph" w:styleId="TOCHeading">
    <w:name w:val="TOC Heading"/>
    <w:basedOn w:val="Heading1"/>
    <w:next w:val="Normal"/>
    <w:uiPriority w:val="39"/>
    <w:unhideWhenUsed/>
    <w:qFormat/>
    <w:rsid w:val="008D4345"/>
    <w:pPr>
      <w:spacing w:after="400" w:line="300" w:lineRule="auto"/>
      <w:outlineLvl w:val="9"/>
    </w:pPr>
    <w:rPr>
      <w:sz w:val="72"/>
      <w:szCs w:val="72"/>
      <w:lang w:val="en-US" w:eastAsia="ja-JP"/>
    </w:rPr>
  </w:style>
  <w:style w:type="paragraph" w:styleId="TOC1">
    <w:name w:val="toc 1"/>
    <w:basedOn w:val="Normal"/>
    <w:next w:val="Normal"/>
    <w:autoRedefine/>
    <w:uiPriority w:val="39"/>
    <w:unhideWhenUsed/>
    <w:rsid w:val="00325B8E"/>
    <w:pPr>
      <w:spacing w:before="120"/>
    </w:pPr>
    <w:rPr>
      <w:rFonts w:asciiTheme="minorHAnsi" w:hAnsiTheme="minorHAnsi" w:cstheme="minorHAnsi"/>
      <w:b/>
      <w:bCs/>
      <w:i/>
      <w:iCs/>
      <w:sz w:val="24"/>
      <w:szCs w:val="24"/>
    </w:rPr>
  </w:style>
  <w:style w:type="character" w:customStyle="1" w:styleId="Heading2Char">
    <w:name w:val="Heading 2 Char"/>
    <w:basedOn w:val="DefaultParagraphFont"/>
    <w:link w:val="Heading2"/>
    <w:uiPriority w:val="9"/>
    <w:rsid w:val="003E4609"/>
    <w:rPr>
      <w:rFonts w:ascii="Arial" w:hAnsi="Arial" w:cs="Arial"/>
      <w:b/>
      <w:bCs/>
      <w:szCs w:val="28"/>
    </w:rPr>
  </w:style>
  <w:style w:type="paragraph" w:styleId="TOC2">
    <w:name w:val="toc 2"/>
    <w:basedOn w:val="Normal"/>
    <w:next w:val="Normal"/>
    <w:autoRedefine/>
    <w:uiPriority w:val="39"/>
    <w:unhideWhenUsed/>
    <w:rsid w:val="00325B8E"/>
    <w:pPr>
      <w:spacing w:before="120"/>
      <w:ind w:left="220"/>
    </w:pPr>
    <w:rPr>
      <w:rFonts w:asciiTheme="minorHAnsi" w:hAnsiTheme="minorHAnsi" w:cstheme="minorHAnsi"/>
      <w:b/>
      <w:bCs/>
    </w:rPr>
  </w:style>
  <w:style w:type="paragraph" w:styleId="TOC3">
    <w:name w:val="toc 3"/>
    <w:basedOn w:val="Normal"/>
    <w:next w:val="Normal"/>
    <w:autoRedefine/>
    <w:uiPriority w:val="39"/>
    <w:unhideWhenUsed/>
    <w:rsid w:val="00EA51A2"/>
    <w:pPr>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72515F"/>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72515F"/>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72515F"/>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72515F"/>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72515F"/>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72515F"/>
    <w:pPr>
      <w:ind w:left="1760"/>
    </w:pPr>
    <w:rPr>
      <w:rFonts w:asciiTheme="minorHAnsi" w:hAnsiTheme="minorHAnsi" w:cstheme="minorHAnsi"/>
      <w:sz w:val="20"/>
      <w:szCs w:val="20"/>
    </w:rPr>
  </w:style>
  <w:style w:type="character" w:customStyle="1" w:styleId="Heading3Char">
    <w:name w:val="Heading 3 Char"/>
    <w:basedOn w:val="DefaultParagraphFont"/>
    <w:link w:val="Heading3"/>
    <w:uiPriority w:val="9"/>
    <w:rsid w:val="00AD720A"/>
    <w:rPr>
      <w:rFonts w:ascii="Calibri" w:eastAsia="Calibri" w:hAnsi="Calibri" w:cs="Calibri"/>
      <w:b/>
      <w:bCs/>
      <w:sz w:val="22"/>
      <w:szCs w:val="22"/>
    </w:rPr>
  </w:style>
  <w:style w:type="character" w:styleId="UnresolvedMention">
    <w:name w:val="Unresolved Mention"/>
    <w:basedOn w:val="DefaultParagraphFont"/>
    <w:uiPriority w:val="99"/>
    <w:semiHidden/>
    <w:unhideWhenUsed/>
    <w:rsid w:val="00235E78"/>
    <w:rPr>
      <w:color w:val="605E5C"/>
      <w:shd w:val="clear" w:color="auto" w:fill="E1DFDD"/>
    </w:rPr>
  </w:style>
  <w:style w:type="paragraph" w:customStyle="1" w:styleId="Style1">
    <w:name w:val="Style1"/>
    <w:basedOn w:val="ListParagraph"/>
    <w:link w:val="Style1Char"/>
    <w:qFormat/>
    <w:rsid w:val="00E94036"/>
    <w:pPr>
      <w:numPr>
        <w:numId w:val="9"/>
      </w:numPr>
      <w:pBdr>
        <w:top w:val="nil"/>
        <w:left w:val="nil"/>
        <w:bottom w:val="nil"/>
        <w:right w:val="nil"/>
        <w:between w:val="nil"/>
      </w:pBdr>
      <w:ind w:left="709" w:hanging="425"/>
    </w:pPr>
    <w:rPr>
      <w:rFonts w:eastAsia="Arial"/>
      <w:color w:val="000000"/>
    </w:rPr>
  </w:style>
  <w:style w:type="character" w:customStyle="1" w:styleId="Style1Char">
    <w:name w:val="Style1 Char"/>
    <w:basedOn w:val="DefaultParagraphFont"/>
    <w:link w:val="Style1"/>
    <w:rsid w:val="00E94036"/>
    <w:rPr>
      <w:rFonts w:eastAsia="Arial"/>
      <w:color w:val="000000"/>
    </w:rPr>
  </w:style>
  <w:style w:type="paragraph" w:styleId="NoSpacing">
    <w:name w:val="No Spacing"/>
    <w:uiPriority w:val="1"/>
    <w:qFormat/>
    <w:rsid w:val="00325B8E"/>
  </w:style>
  <w:style w:type="table" w:customStyle="1" w:styleId="TableGrid0">
    <w:name w:val="TableGrid"/>
    <w:rsid w:val="00594D1A"/>
    <w:rPr>
      <w:rFonts w:eastAsiaTheme="minorEastAsia"/>
    </w:rPr>
    <w:tblPr>
      <w:tblCellMar>
        <w:top w:w="0" w:type="dxa"/>
        <w:left w:w="0" w:type="dxa"/>
        <w:bottom w:w="0" w:type="dxa"/>
        <w:right w:w="0" w:type="dxa"/>
      </w:tblCellMar>
    </w:tblPr>
  </w:style>
  <w:style w:type="character" w:customStyle="1" w:styleId="ListParagraphChar">
    <w:name w:val="List Paragraph Char"/>
    <w:link w:val="ListParagraph"/>
    <w:uiPriority w:val="34"/>
    <w:locked/>
    <w:rsid w:val="00594D1A"/>
    <w:rPr>
      <w:sz w:val="22"/>
      <w:szCs w:val="22"/>
    </w:rPr>
  </w:style>
  <w:style w:type="paragraph" w:customStyle="1" w:styleId="Pa2">
    <w:name w:val="Pa2"/>
    <w:basedOn w:val="Normal"/>
    <w:next w:val="Normal"/>
    <w:uiPriority w:val="99"/>
    <w:rsid w:val="00594D1A"/>
    <w:pPr>
      <w:widowControl w:val="0"/>
      <w:autoSpaceDE w:val="0"/>
      <w:autoSpaceDN w:val="0"/>
      <w:adjustRightInd w:val="0"/>
      <w:spacing w:line="201" w:lineRule="atLeast"/>
      <w:jc w:val="both"/>
    </w:pPr>
    <w:rPr>
      <w:rFonts w:ascii="Arial" w:hAnsi="Arial" w:cs="Arial"/>
      <w:szCs w:val="24"/>
    </w:rPr>
  </w:style>
  <w:style w:type="character" w:customStyle="1" w:styleId="normaltextrun">
    <w:name w:val="normaltextrun"/>
    <w:basedOn w:val="DefaultParagraphFont"/>
    <w:rsid w:val="00594D1A"/>
  </w:style>
  <w:style w:type="character" w:customStyle="1" w:styleId="eop">
    <w:name w:val="eop"/>
    <w:basedOn w:val="DefaultParagraphFont"/>
    <w:rsid w:val="00594D1A"/>
  </w:style>
  <w:style w:type="paragraph" w:customStyle="1" w:styleId="xmsolistparagraph">
    <w:name w:val="x_msolistparagraph"/>
    <w:basedOn w:val="Normal"/>
    <w:rsid w:val="00697A0D"/>
    <w:pPr>
      <w:spacing w:before="100" w:beforeAutospacing="1" w:after="100" w:afterAutospacing="1"/>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Revision">
    <w:name w:val="Revision"/>
    <w:hidden/>
    <w:uiPriority w:val="99"/>
    <w:semiHidden/>
    <w:rsid w:val="008D6F6B"/>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Pr>
  </w:style>
  <w:style w:type="paragraph" w:customStyle="1" w:styleId="TableParagraph">
    <w:name w:val="Table Paragraph"/>
    <w:basedOn w:val="Normal"/>
    <w:uiPriority w:val="1"/>
    <w:qFormat/>
    <w:rsid w:val="003A0F72"/>
    <w:pPr>
      <w:widowControl w:val="0"/>
      <w:autoSpaceDE w:val="0"/>
      <w:autoSpaceDN w:val="0"/>
      <w:ind w:left="11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bL1dAfZLggjvmxLuhIDGRisrFA==">CgMxLjAyCGguZ2pkZ3hzMgloLjMwajB6bGwyCWguMWZvYjl0ZTIJaC4zem55c2g3MgloLjJldDkycDAyCGgudHlqY3d0MgloLjNkeTZ2a20yCWguMXQzaDVzZjIJaC40ZDM0b2c4MgloLjJzOGV5bzEyCWguMTdkcDh2dTIJaC4zcmRjcmpuMgloLjI2aW4xcmcyCGgubG54Yno5MgloLjFobXN5eXMyCWguMzVua3VuMjIJaC4xa3N2NHV2MgloLjQ0c2luaW8yCWguMmp4c3hxaDIIaC56MzM3eWEyCWguM2oycXFtMzIJaC4xeTgxMHR3MgloLjRpN29qaHA4AHIhMTFrWTE1SmtjandwcnVuekRhcGZpVlpBa0lUZlplQTg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3661</Words>
  <Characters>20870</Characters>
  <Application>Microsoft Office Word</Application>
  <DocSecurity>0</DocSecurity>
  <Lines>173</Lines>
  <Paragraphs>48</Paragraphs>
  <ScaleCrop>false</ScaleCrop>
  <Company/>
  <LinksUpToDate>false</LinksUpToDate>
  <CharactersWithSpaces>24483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Raana Sarmad</cp:lastModifiedBy>
  <cp:revision>2</cp:revision>
  <dcterms:created xsi:type="dcterms:W3CDTF">2025-06-17T13:35:00Z</dcterms:created>
  <dcterms:modified xsi:type="dcterms:W3CDTF">2025-06-17T13:35:00Z</dcterms:modified>
</cp:coreProperties>
</file>