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C879D" w14:textId="091C3DEE" w:rsidR="005439EC" w:rsidRPr="005439EC" w:rsidRDefault="005439EC" w:rsidP="005439EC">
      <w:r w:rsidRPr="005439EC">
        <w:drawing>
          <wp:inline distT="0" distB="0" distL="0" distR="0" wp14:anchorId="750F4AEC" wp14:editId="79E8F1B3">
            <wp:extent cx="1438275" cy="923925"/>
            <wp:effectExtent l="0" t="0" r="9525" b="9525"/>
            <wp:docPr id="2090694649"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694649" name="Picture 4" descr="A logo with text on i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923925"/>
                    </a:xfrm>
                    <a:prstGeom prst="rect">
                      <a:avLst/>
                    </a:prstGeom>
                    <a:noFill/>
                    <a:ln>
                      <a:noFill/>
                    </a:ln>
                  </pic:spPr>
                </pic:pic>
              </a:graphicData>
            </a:graphic>
          </wp:inline>
        </w:drawing>
      </w:r>
      <w:r w:rsidRPr="005439EC">
        <w:drawing>
          <wp:inline distT="0" distB="0" distL="0" distR="0" wp14:anchorId="66BA2FE6" wp14:editId="60D90A67">
            <wp:extent cx="1447800" cy="923925"/>
            <wp:effectExtent l="0" t="0" r="0" b="9525"/>
            <wp:docPr id="267434358" name="Picture 3" descr="A logo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34358" name="Picture 3" descr="A logo on a green backgro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923925"/>
                    </a:xfrm>
                    <a:prstGeom prst="rect">
                      <a:avLst/>
                    </a:prstGeom>
                    <a:noFill/>
                    <a:ln>
                      <a:noFill/>
                    </a:ln>
                  </pic:spPr>
                </pic:pic>
              </a:graphicData>
            </a:graphic>
          </wp:inline>
        </w:drawing>
      </w:r>
    </w:p>
    <w:p w14:paraId="347B4B95" w14:textId="77777777" w:rsidR="005439EC" w:rsidRPr="005439EC" w:rsidRDefault="005439EC" w:rsidP="005439EC">
      <w:r w:rsidRPr="005439EC">
        <w:br/>
      </w:r>
    </w:p>
    <w:p w14:paraId="790F59C8" w14:textId="77777777" w:rsidR="005439EC" w:rsidRPr="005439EC" w:rsidRDefault="005439EC" w:rsidP="005439EC">
      <w:r w:rsidRPr="005439EC">
        <w:rPr>
          <w:b/>
          <w:bCs/>
        </w:rPr>
        <w:t>Freedom of Speech Policy</w:t>
      </w:r>
    </w:p>
    <w:p w14:paraId="5CF458DF" w14:textId="77777777" w:rsidR="005439EC" w:rsidRPr="005439EC" w:rsidRDefault="005439EC" w:rsidP="005439EC"/>
    <w:tbl>
      <w:tblPr>
        <w:tblW w:w="0" w:type="auto"/>
        <w:tblCellMar>
          <w:top w:w="15" w:type="dxa"/>
          <w:left w:w="15" w:type="dxa"/>
          <w:bottom w:w="15" w:type="dxa"/>
          <w:right w:w="15" w:type="dxa"/>
        </w:tblCellMar>
        <w:tblLook w:val="04A0" w:firstRow="1" w:lastRow="0" w:firstColumn="1" w:lastColumn="0" w:noHBand="0" w:noVBand="1"/>
      </w:tblPr>
      <w:tblGrid>
        <w:gridCol w:w="2016"/>
        <w:gridCol w:w="4557"/>
      </w:tblGrid>
      <w:tr w:rsidR="005439EC" w:rsidRPr="005439EC" w14:paraId="4179827C" w14:textId="77777777" w:rsidTr="005439EC">
        <w:trPr>
          <w:trHeight w:val="268"/>
        </w:trPr>
        <w:tc>
          <w:tcPr>
            <w:tcW w:w="0" w:type="auto"/>
            <w:tcBorders>
              <w:top w:val="single" w:sz="4" w:space="0" w:color="000000"/>
              <w:left w:val="single" w:sz="4" w:space="0" w:color="000000"/>
              <w:bottom w:val="single" w:sz="4" w:space="0" w:color="000000"/>
              <w:right w:val="single" w:sz="4" w:space="0" w:color="000000"/>
            </w:tcBorders>
            <w:shd w:val="clear" w:color="auto" w:fill="E1EED9"/>
            <w:hideMark/>
          </w:tcPr>
          <w:p w14:paraId="25024FBC" w14:textId="77777777" w:rsidR="005439EC" w:rsidRPr="005439EC" w:rsidRDefault="005439EC" w:rsidP="005439EC">
            <w:r w:rsidRPr="005439EC">
              <w:rPr>
                <w:b/>
                <w:bCs/>
              </w:rPr>
              <w:t>Policy no:</w:t>
            </w:r>
          </w:p>
        </w:tc>
        <w:tc>
          <w:tcPr>
            <w:tcW w:w="0" w:type="auto"/>
            <w:tcBorders>
              <w:top w:val="single" w:sz="4" w:space="0" w:color="000000"/>
              <w:left w:val="single" w:sz="4" w:space="0" w:color="000000"/>
              <w:bottom w:val="single" w:sz="4" w:space="0" w:color="000000"/>
              <w:right w:val="single" w:sz="4" w:space="0" w:color="000000"/>
            </w:tcBorders>
            <w:hideMark/>
          </w:tcPr>
          <w:p w14:paraId="64B9A846" w14:textId="77777777" w:rsidR="005439EC" w:rsidRPr="005439EC" w:rsidRDefault="005439EC" w:rsidP="005439EC">
            <w:r w:rsidRPr="005439EC">
              <w:rPr>
                <w:b/>
                <w:bCs/>
              </w:rPr>
              <w:t>8.6</w:t>
            </w:r>
          </w:p>
        </w:tc>
      </w:tr>
      <w:tr w:rsidR="005439EC" w:rsidRPr="005439EC" w14:paraId="3FF43F53" w14:textId="77777777" w:rsidTr="005439EC">
        <w:trPr>
          <w:trHeight w:val="268"/>
        </w:trPr>
        <w:tc>
          <w:tcPr>
            <w:tcW w:w="0" w:type="auto"/>
            <w:tcBorders>
              <w:top w:val="single" w:sz="4" w:space="0" w:color="000000"/>
              <w:left w:val="single" w:sz="4" w:space="0" w:color="000000"/>
              <w:bottom w:val="single" w:sz="4" w:space="0" w:color="000000"/>
              <w:right w:val="single" w:sz="4" w:space="0" w:color="000000"/>
            </w:tcBorders>
            <w:shd w:val="clear" w:color="auto" w:fill="E1EED9"/>
            <w:hideMark/>
          </w:tcPr>
          <w:p w14:paraId="6D8FAEF4" w14:textId="77777777" w:rsidR="005439EC" w:rsidRPr="005439EC" w:rsidRDefault="005439EC" w:rsidP="005439EC">
            <w:r w:rsidRPr="005439EC">
              <w:rPr>
                <w:b/>
                <w:bCs/>
              </w:rPr>
              <w:t>Version date</w:t>
            </w:r>
          </w:p>
        </w:tc>
        <w:tc>
          <w:tcPr>
            <w:tcW w:w="0" w:type="auto"/>
            <w:tcBorders>
              <w:top w:val="single" w:sz="4" w:space="0" w:color="000000"/>
              <w:left w:val="single" w:sz="4" w:space="0" w:color="000000"/>
              <w:bottom w:val="single" w:sz="4" w:space="0" w:color="000000"/>
              <w:right w:val="single" w:sz="4" w:space="0" w:color="000000"/>
            </w:tcBorders>
            <w:hideMark/>
          </w:tcPr>
          <w:p w14:paraId="3C37B3A9" w14:textId="6B1AB043" w:rsidR="005439EC" w:rsidRPr="005439EC" w:rsidRDefault="005439EC" w:rsidP="005439EC">
            <w:r>
              <w:t>February 2025</w:t>
            </w:r>
          </w:p>
        </w:tc>
      </w:tr>
      <w:tr w:rsidR="005439EC" w:rsidRPr="005439EC" w14:paraId="24537EC9" w14:textId="77777777" w:rsidTr="005439EC">
        <w:trPr>
          <w:trHeight w:val="268"/>
        </w:trPr>
        <w:tc>
          <w:tcPr>
            <w:tcW w:w="0" w:type="auto"/>
            <w:tcBorders>
              <w:top w:val="single" w:sz="4" w:space="0" w:color="000000"/>
              <w:left w:val="single" w:sz="4" w:space="0" w:color="000000"/>
              <w:bottom w:val="single" w:sz="4" w:space="0" w:color="000000"/>
              <w:right w:val="single" w:sz="4" w:space="0" w:color="000000"/>
            </w:tcBorders>
            <w:shd w:val="clear" w:color="auto" w:fill="E1EED9"/>
            <w:hideMark/>
          </w:tcPr>
          <w:p w14:paraId="182E2055" w14:textId="77777777" w:rsidR="005439EC" w:rsidRPr="005439EC" w:rsidRDefault="005439EC" w:rsidP="005439EC">
            <w:r w:rsidRPr="005439EC">
              <w:rPr>
                <w:b/>
                <w:bCs/>
              </w:rPr>
              <w:t>Author</w:t>
            </w:r>
          </w:p>
        </w:tc>
        <w:tc>
          <w:tcPr>
            <w:tcW w:w="0" w:type="auto"/>
            <w:tcBorders>
              <w:top w:val="single" w:sz="4" w:space="0" w:color="000000"/>
              <w:left w:val="single" w:sz="4" w:space="0" w:color="000000"/>
              <w:bottom w:val="single" w:sz="4" w:space="0" w:color="000000"/>
              <w:right w:val="single" w:sz="4" w:space="0" w:color="000000"/>
            </w:tcBorders>
            <w:hideMark/>
          </w:tcPr>
          <w:p w14:paraId="3C9B13CD" w14:textId="77777777" w:rsidR="005439EC" w:rsidRPr="005439EC" w:rsidRDefault="005439EC" w:rsidP="005439EC">
            <w:r w:rsidRPr="005439EC">
              <w:t>Murray Cooper</w:t>
            </w:r>
          </w:p>
        </w:tc>
      </w:tr>
      <w:tr w:rsidR="005439EC" w:rsidRPr="005439EC" w14:paraId="7047F8F6" w14:textId="77777777" w:rsidTr="005439EC">
        <w:trPr>
          <w:trHeight w:val="268"/>
        </w:trPr>
        <w:tc>
          <w:tcPr>
            <w:tcW w:w="0" w:type="auto"/>
            <w:tcBorders>
              <w:top w:val="single" w:sz="4" w:space="0" w:color="000000"/>
              <w:left w:val="single" w:sz="4" w:space="0" w:color="000000"/>
              <w:bottom w:val="single" w:sz="4" w:space="0" w:color="000000"/>
              <w:right w:val="single" w:sz="4" w:space="0" w:color="000000"/>
            </w:tcBorders>
            <w:shd w:val="clear" w:color="auto" w:fill="E1EED9"/>
            <w:hideMark/>
          </w:tcPr>
          <w:p w14:paraId="32339A4B" w14:textId="77777777" w:rsidR="005439EC" w:rsidRPr="005439EC" w:rsidRDefault="005439EC" w:rsidP="005439EC">
            <w:r w:rsidRPr="005439EC">
              <w:rPr>
                <w:b/>
                <w:bCs/>
              </w:rPr>
              <w:t>Responsible person</w:t>
            </w:r>
          </w:p>
        </w:tc>
        <w:tc>
          <w:tcPr>
            <w:tcW w:w="0" w:type="auto"/>
            <w:tcBorders>
              <w:top w:val="single" w:sz="4" w:space="0" w:color="000000"/>
              <w:left w:val="single" w:sz="4" w:space="0" w:color="000000"/>
              <w:bottom w:val="single" w:sz="4" w:space="0" w:color="000000"/>
              <w:right w:val="single" w:sz="4" w:space="0" w:color="000000"/>
            </w:tcBorders>
            <w:hideMark/>
          </w:tcPr>
          <w:p w14:paraId="00B30EB5" w14:textId="77777777" w:rsidR="005439EC" w:rsidRPr="005439EC" w:rsidRDefault="005439EC" w:rsidP="005439EC">
            <w:r w:rsidRPr="005439EC">
              <w:t>Head of Higher Education</w:t>
            </w:r>
          </w:p>
        </w:tc>
      </w:tr>
      <w:tr w:rsidR="005439EC" w:rsidRPr="005439EC" w14:paraId="6BC0586A" w14:textId="77777777" w:rsidTr="005439EC">
        <w:trPr>
          <w:trHeight w:val="268"/>
        </w:trPr>
        <w:tc>
          <w:tcPr>
            <w:tcW w:w="0" w:type="auto"/>
            <w:tcBorders>
              <w:top w:val="single" w:sz="4" w:space="0" w:color="000000"/>
              <w:left w:val="single" w:sz="4" w:space="0" w:color="000000"/>
              <w:bottom w:val="single" w:sz="4" w:space="0" w:color="000000"/>
              <w:right w:val="single" w:sz="4" w:space="0" w:color="000000"/>
            </w:tcBorders>
            <w:shd w:val="clear" w:color="auto" w:fill="E1EED9"/>
            <w:hideMark/>
          </w:tcPr>
          <w:p w14:paraId="1426F2F4" w14:textId="77777777" w:rsidR="005439EC" w:rsidRPr="005439EC" w:rsidRDefault="005439EC" w:rsidP="005439EC">
            <w:r w:rsidRPr="005439EC">
              <w:rPr>
                <w:b/>
                <w:bCs/>
              </w:rPr>
              <w:t>Version number</w:t>
            </w:r>
          </w:p>
        </w:tc>
        <w:tc>
          <w:tcPr>
            <w:tcW w:w="0" w:type="auto"/>
            <w:tcBorders>
              <w:top w:val="single" w:sz="4" w:space="0" w:color="000000"/>
              <w:left w:val="single" w:sz="4" w:space="0" w:color="000000"/>
              <w:bottom w:val="single" w:sz="4" w:space="0" w:color="000000"/>
              <w:right w:val="single" w:sz="4" w:space="0" w:color="000000"/>
            </w:tcBorders>
            <w:hideMark/>
          </w:tcPr>
          <w:p w14:paraId="354323C7" w14:textId="77777777" w:rsidR="005439EC" w:rsidRPr="005439EC" w:rsidRDefault="005439EC" w:rsidP="005439EC">
            <w:r w:rsidRPr="005439EC">
              <w:t>V04.1</w:t>
            </w:r>
          </w:p>
        </w:tc>
      </w:tr>
      <w:tr w:rsidR="005439EC" w:rsidRPr="005439EC" w14:paraId="33C9CE24" w14:textId="77777777" w:rsidTr="005439EC">
        <w:trPr>
          <w:trHeight w:val="268"/>
        </w:trPr>
        <w:tc>
          <w:tcPr>
            <w:tcW w:w="0" w:type="auto"/>
            <w:tcBorders>
              <w:top w:val="single" w:sz="4" w:space="0" w:color="000000"/>
              <w:left w:val="single" w:sz="4" w:space="0" w:color="000000"/>
              <w:bottom w:val="single" w:sz="4" w:space="0" w:color="000000"/>
              <w:right w:val="single" w:sz="4" w:space="0" w:color="000000"/>
            </w:tcBorders>
            <w:shd w:val="clear" w:color="auto" w:fill="E1EED9"/>
            <w:hideMark/>
          </w:tcPr>
          <w:p w14:paraId="4D0CD384" w14:textId="77777777" w:rsidR="005439EC" w:rsidRPr="005439EC" w:rsidRDefault="005439EC" w:rsidP="005439EC">
            <w:r w:rsidRPr="005439EC">
              <w:rPr>
                <w:b/>
                <w:bCs/>
              </w:rPr>
              <w:t>Approved by</w:t>
            </w:r>
          </w:p>
        </w:tc>
        <w:tc>
          <w:tcPr>
            <w:tcW w:w="0" w:type="auto"/>
            <w:tcBorders>
              <w:top w:val="single" w:sz="4" w:space="0" w:color="000000"/>
              <w:left w:val="single" w:sz="4" w:space="0" w:color="000000"/>
              <w:bottom w:val="single" w:sz="4" w:space="0" w:color="000000"/>
              <w:right w:val="single" w:sz="4" w:space="0" w:color="000000"/>
            </w:tcBorders>
            <w:hideMark/>
          </w:tcPr>
          <w:p w14:paraId="001B5649" w14:textId="77777777" w:rsidR="005439EC" w:rsidRPr="005439EC" w:rsidRDefault="005439EC" w:rsidP="005439EC">
            <w:r w:rsidRPr="005439EC">
              <w:t>Academic Board</w:t>
            </w:r>
          </w:p>
        </w:tc>
      </w:tr>
      <w:tr w:rsidR="005439EC" w:rsidRPr="005439EC" w14:paraId="6303BF04" w14:textId="77777777" w:rsidTr="005439EC">
        <w:trPr>
          <w:trHeight w:val="268"/>
        </w:trPr>
        <w:tc>
          <w:tcPr>
            <w:tcW w:w="0" w:type="auto"/>
            <w:tcBorders>
              <w:top w:val="single" w:sz="4" w:space="0" w:color="000000"/>
              <w:left w:val="single" w:sz="4" w:space="0" w:color="000000"/>
              <w:bottom w:val="single" w:sz="4" w:space="0" w:color="000000"/>
              <w:right w:val="single" w:sz="4" w:space="0" w:color="000000"/>
            </w:tcBorders>
            <w:shd w:val="clear" w:color="auto" w:fill="E1EED9"/>
            <w:hideMark/>
          </w:tcPr>
          <w:p w14:paraId="5FF60794" w14:textId="77777777" w:rsidR="005439EC" w:rsidRPr="005439EC" w:rsidRDefault="005439EC" w:rsidP="005439EC">
            <w:r w:rsidRPr="005439EC">
              <w:rPr>
                <w:b/>
                <w:bCs/>
              </w:rPr>
              <w:t>Next review due</w:t>
            </w:r>
          </w:p>
        </w:tc>
        <w:tc>
          <w:tcPr>
            <w:tcW w:w="0" w:type="auto"/>
            <w:tcBorders>
              <w:top w:val="single" w:sz="4" w:space="0" w:color="000000"/>
              <w:left w:val="single" w:sz="4" w:space="0" w:color="000000"/>
              <w:bottom w:val="single" w:sz="4" w:space="0" w:color="000000"/>
              <w:right w:val="single" w:sz="4" w:space="0" w:color="000000"/>
            </w:tcBorders>
            <w:hideMark/>
          </w:tcPr>
          <w:p w14:paraId="7C8DB272" w14:textId="77777777" w:rsidR="005439EC" w:rsidRPr="005439EC" w:rsidRDefault="005439EC" w:rsidP="005439EC">
            <w:r w:rsidRPr="005439EC">
              <w:t>February 2026</w:t>
            </w:r>
          </w:p>
        </w:tc>
      </w:tr>
      <w:tr w:rsidR="005439EC" w:rsidRPr="005439EC" w14:paraId="35FDCA3D" w14:textId="77777777" w:rsidTr="005439EC">
        <w:trPr>
          <w:trHeight w:val="537"/>
        </w:trPr>
        <w:tc>
          <w:tcPr>
            <w:tcW w:w="0" w:type="auto"/>
            <w:tcBorders>
              <w:top w:val="single" w:sz="4" w:space="0" w:color="000000"/>
              <w:left w:val="single" w:sz="4" w:space="0" w:color="000000"/>
              <w:bottom w:val="single" w:sz="4" w:space="0" w:color="000000"/>
              <w:right w:val="single" w:sz="4" w:space="0" w:color="000000"/>
            </w:tcBorders>
            <w:shd w:val="clear" w:color="auto" w:fill="E1EED9"/>
            <w:hideMark/>
          </w:tcPr>
          <w:p w14:paraId="21C3E32F" w14:textId="77777777" w:rsidR="005439EC" w:rsidRPr="005439EC" w:rsidRDefault="005439EC" w:rsidP="005439EC"/>
        </w:tc>
        <w:tc>
          <w:tcPr>
            <w:tcW w:w="0" w:type="auto"/>
            <w:tcBorders>
              <w:top w:val="single" w:sz="4" w:space="0" w:color="000000"/>
              <w:left w:val="single" w:sz="4" w:space="0" w:color="000000"/>
              <w:bottom w:val="single" w:sz="4" w:space="0" w:color="000000"/>
              <w:right w:val="single" w:sz="4" w:space="0" w:color="000000"/>
            </w:tcBorders>
            <w:hideMark/>
          </w:tcPr>
          <w:p w14:paraId="72EF36AC" w14:textId="77777777" w:rsidR="005439EC" w:rsidRPr="005439EC" w:rsidRDefault="005439EC" w:rsidP="005439EC"/>
          <w:p w14:paraId="5E1151F4" w14:textId="77777777" w:rsidR="005439EC" w:rsidRPr="005439EC" w:rsidRDefault="005439EC" w:rsidP="005439EC">
            <w:r w:rsidRPr="005439EC">
              <w:t>Higher Education (Freedom of Speech) Act 2023</w:t>
            </w:r>
          </w:p>
          <w:p w14:paraId="5981E604" w14:textId="77777777" w:rsidR="005439EC" w:rsidRPr="005439EC" w:rsidRDefault="005439EC" w:rsidP="005439EC">
            <w:r w:rsidRPr="005439EC">
              <w:t>Public interest governance principle VII</w:t>
            </w:r>
          </w:p>
          <w:p w14:paraId="67620244" w14:textId="77777777" w:rsidR="005439EC" w:rsidRPr="005439EC" w:rsidRDefault="005439EC" w:rsidP="005439EC">
            <w:r w:rsidRPr="005439EC">
              <w:br/>
            </w:r>
            <w:r w:rsidRPr="005439EC">
              <w:br/>
            </w:r>
            <w:r w:rsidRPr="005439EC">
              <w:br/>
            </w:r>
            <w:r w:rsidRPr="005439EC">
              <w:br/>
            </w:r>
            <w:r w:rsidRPr="005439EC">
              <w:br/>
            </w:r>
            <w:r w:rsidRPr="005439EC">
              <w:br/>
            </w:r>
          </w:p>
        </w:tc>
      </w:tr>
    </w:tbl>
    <w:p w14:paraId="64445056" w14:textId="77777777" w:rsidR="005439EC" w:rsidRPr="005439EC" w:rsidRDefault="005439EC" w:rsidP="005439EC">
      <w:r w:rsidRPr="005439EC">
        <w:br/>
      </w:r>
      <w:r w:rsidRPr="005439EC">
        <w:rPr>
          <w:b/>
          <w:bCs/>
        </w:rPr>
        <w:br/>
      </w:r>
    </w:p>
    <w:p w14:paraId="2BCAECB4" w14:textId="77777777" w:rsidR="005439EC" w:rsidRPr="005439EC" w:rsidRDefault="005439EC" w:rsidP="005439EC">
      <w:r w:rsidRPr="005439EC">
        <w:rPr>
          <w:b/>
          <w:bCs/>
        </w:rPr>
        <w:t>Table of Contents</w:t>
      </w:r>
    </w:p>
    <w:p w14:paraId="22E779BA" w14:textId="77777777" w:rsidR="005439EC" w:rsidRPr="005439EC" w:rsidRDefault="005439EC" w:rsidP="005439EC">
      <w:hyperlink r:id="rId7" w:anchor="heading=h.gjdgxs" w:history="1">
        <w:r w:rsidRPr="005439EC">
          <w:rPr>
            <w:rStyle w:val="Hyperlink"/>
            <w:b/>
            <w:bCs/>
          </w:rPr>
          <w:t>1.</w:t>
        </w:r>
        <w:r w:rsidRPr="005439EC">
          <w:rPr>
            <w:rStyle w:val="Hyperlink"/>
            <w:b/>
            <w:bCs/>
          </w:rPr>
          <w:tab/>
          <w:t>Purpose</w:t>
        </w:r>
        <w:r w:rsidRPr="005439EC">
          <w:rPr>
            <w:rStyle w:val="Hyperlink"/>
            <w:b/>
            <w:bCs/>
          </w:rPr>
          <w:tab/>
          <w:t>3</w:t>
        </w:r>
      </w:hyperlink>
    </w:p>
    <w:p w14:paraId="2535A139" w14:textId="77777777" w:rsidR="005439EC" w:rsidRPr="005439EC" w:rsidRDefault="005439EC" w:rsidP="005439EC">
      <w:hyperlink r:id="rId8" w:anchor="heading=h.30j0zll" w:history="1">
        <w:r w:rsidRPr="005439EC">
          <w:rPr>
            <w:rStyle w:val="Hyperlink"/>
            <w:b/>
            <w:bCs/>
          </w:rPr>
          <w:t>2.</w:t>
        </w:r>
        <w:r w:rsidRPr="005439EC">
          <w:rPr>
            <w:rStyle w:val="Hyperlink"/>
            <w:b/>
            <w:bCs/>
          </w:rPr>
          <w:tab/>
          <w:t>Scope</w:t>
        </w:r>
        <w:r w:rsidRPr="005439EC">
          <w:rPr>
            <w:rStyle w:val="Hyperlink"/>
            <w:b/>
            <w:bCs/>
          </w:rPr>
          <w:tab/>
          <w:t>3</w:t>
        </w:r>
      </w:hyperlink>
    </w:p>
    <w:p w14:paraId="1576DA95" w14:textId="77777777" w:rsidR="005439EC" w:rsidRPr="005439EC" w:rsidRDefault="005439EC" w:rsidP="005439EC">
      <w:hyperlink r:id="rId9" w:anchor="heading=h.1fob9te" w:history="1">
        <w:r w:rsidRPr="005439EC">
          <w:rPr>
            <w:rStyle w:val="Hyperlink"/>
            <w:b/>
            <w:bCs/>
          </w:rPr>
          <w:t>3.</w:t>
        </w:r>
        <w:r w:rsidRPr="005439EC">
          <w:rPr>
            <w:rStyle w:val="Hyperlink"/>
            <w:b/>
            <w:bCs/>
          </w:rPr>
          <w:tab/>
          <w:t>External Speakers</w:t>
        </w:r>
        <w:r w:rsidRPr="005439EC">
          <w:rPr>
            <w:rStyle w:val="Hyperlink"/>
            <w:b/>
            <w:bCs/>
          </w:rPr>
          <w:tab/>
          <w:t>3</w:t>
        </w:r>
      </w:hyperlink>
    </w:p>
    <w:p w14:paraId="0BAC3590" w14:textId="77777777" w:rsidR="005439EC" w:rsidRPr="005439EC" w:rsidRDefault="005439EC" w:rsidP="005439EC">
      <w:hyperlink r:id="rId10" w:anchor="heading=h.3znysh7" w:history="1">
        <w:r w:rsidRPr="005439EC">
          <w:rPr>
            <w:rStyle w:val="Hyperlink"/>
            <w:b/>
            <w:bCs/>
          </w:rPr>
          <w:t>4.</w:t>
        </w:r>
        <w:r w:rsidRPr="005439EC">
          <w:rPr>
            <w:rStyle w:val="Hyperlink"/>
            <w:b/>
            <w:bCs/>
          </w:rPr>
          <w:tab/>
          <w:t>Staff and Student Policies</w:t>
        </w:r>
        <w:r w:rsidRPr="005439EC">
          <w:rPr>
            <w:rStyle w:val="Hyperlink"/>
            <w:b/>
            <w:bCs/>
          </w:rPr>
          <w:tab/>
          <w:t>3</w:t>
        </w:r>
      </w:hyperlink>
    </w:p>
    <w:p w14:paraId="688F87F6" w14:textId="77777777" w:rsidR="005439EC" w:rsidRPr="005439EC" w:rsidRDefault="005439EC" w:rsidP="005439EC">
      <w:hyperlink r:id="rId11" w:anchor="heading=h.2et92p0" w:history="1">
        <w:r w:rsidRPr="005439EC">
          <w:rPr>
            <w:rStyle w:val="Hyperlink"/>
            <w:b/>
            <w:bCs/>
          </w:rPr>
          <w:t>5.</w:t>
        </w:r>
        <w:r w:rsidRPr="005439EC">
          <w:rPr>
            <w:rStyle w:val="Hyperlink"/>
            <w:b/>
            <w:bCs/>
          </w:rPr>
          <w:tab/>
          <w:t>Legal Restrictions</w:t>
        </w:r>
        <w:r w:rsidRPr="005439EC">
          <w:rPr>
            <w:rStyle w:val="Hyperlink"/>
            <w:b/>
            <w:bCs/>
          </w:rPr>
          <w:tab/>
          <w:t>4</w:t>
        </w:r>
      </w:hyperlink>
    </w:p>
    <w:p w14:paraId="655FE07A" w14:textId="77777777" w:rsidR="005439EC" w:rsidRPr="005439EC" w:rsidRDefault="005439EC" w:rsidP="005439EC">
      <w:hyperlink r:id="rId12" w:anchor="heading=h.tyjcwt" w:history="1">
        <w:r w:rsidRPr="005439EC">
          <w:rPr>
            <w:rStyle w:val="Hyperlink"/>
            <w:b/>
            <w:bCs/>
          </w:rPr>
          <w:t>5.1.</w:t>
        </w:r>
        <w:r w:rsidRPr="005439EC">
          <w:rPr>
            <w:rStyle w:val="Hyperlink"/>
            <w:b/>
            <w:bCs/>
          </w:rPr>
          <w:tab/>
          <w:t>Discrimination</w:t>
        </w:r>
        <w:r w:rsidRPr="005439EC">
          <w:rPr>
            <w:rStyle w:val="Hyperlink"/>
            <w:b/>
            <w:bCs/>
          </w:rPr>
          <w:tab/>
          <w:t>4</w:t>
        </w:r>
      </w:hyperlink>
    </w:p>
    <w:p w14:paraId="2A3388AE" w14:textId="77777777" w:rsidR="005439EC" w:rsidRPr="005439EC" w:rsidRDefault="005439EC" w:rsidP="005439EC">
      <w:hyperlink r:id="rId13" w:anchor="heading=h.3dy6vkm" w:history="1">
        <w:r w:rsidRPr="005439EC">
          <w:rPr>
            <w:rStyle w:val="Hyperlink"/>
            <w:b/>
            <w:bCs/>
          </w:rPr>
          <w:t>5.2.</w:t>
        </w:r>
        <w:r w:rsidRPr="005439EC">
          <w:rPr>
            <w:rStyle w:val="Hyperlink"/>
            <w:b/>
            <w:bCs/>
          </w:rPr>
          <w:tab/>
          <w:t>Prevent Duty</w:t>
        </w:r>
        <w:r w:rsidRPr="005439EC">
          <w:rPr>
            <w:rStyle w:val="Hyperlink"/>
            <w:b/>
            <w:bCs/>
          </w:rPr>
          <w:tab/>
          <w:t>4</w:t>
        </w:r>
      </w:hyperlink>
    </w:p>
    <w:p w14:paraId="160F4551" w14:textId="77777777" w:rsidR="005439EC" w:rsidRPr="005439EC" w:rsidRDefault="005439EC" w:rsidP="005439EC">
      <w:hyperlink r:id="rId14" w:anchor="heading=h.1t3h5sf" w:history="1">
        <w:r w:rsidRPr="005439EC">
          <w:rPr>
            <w:rStyle w:val="Hyperlink"/>
            <w:b/>
            <w:bCs/>
          </w:rPr>
          <w:t>6.</w:t>
        </w:r>
        <w:r w:rsidRPr="005439EC">
          <w:rPr>
            <w:rStyle w:val="Hyperlink"/>
            <w:b/>
            <w:bCs/>
          </w:rPr>
          <w:tab/>
          <w:t>Borderline Speech</w:t>
        </w:r>
        <w:r w:rsidRPr="005439EC">
          <w:rPr>
            <w:rStyle w:val="Hyperlink"/>
            <w:b/>
            <w:bCs/>
          </w:rPr>
          <w:tab/>
          <w:t>5</w:t>
        </w:r>
      </w:hyperlink>
    </w:p>
    <w:p w14:paraId="62E3008D" w14:textId="77777777" w:rsidR="005439EC" w:rsidRPr="005439EC" w:rsidRDefault="005439EC" w:rsidP="005439EC">
      <w:hyperlink r:id="rId15" w:anchor="heading=h.4d34og8" w:history="1">
        <w:r w:rsidRPr="005439EC">
          <w:rPr>
            <w:rStyle w:val="Hyperlink"/>
            <w:b/>
            <w:bCs/>
          </w:rPr>
          <w:t>7.</w:t>
        </w:r>
        <w:r w:rsidRPr="005439EC">
          <w:rPr>
            <w:rStyle w:val="Hyperlink"/>
            <w:b/>
            <w:bCs/>
          </w:rPr>
          <w:tab/>
          <w:t>Support</w:t>
        </w:r>
        <w:r w:rsidRPr="005439EC">
          <w:rPr>
            <w:rStyle w:val="Hyperlink"/>
            <w:b/>
            <w:bCs/>
          </w:rPr>
          <w:tab/>
          <w:t>5</w:t>
        </w:r>
      </w:hyperlink>
    </w:p>
    <w:p w14:paraId="3999100B" w14:textId="77777777" w:rsidR="005439EC" w:rsidRPr="005439EC" w:rsidRDefault="005439EC" w:rsidP="005439EC">
      <w:hyperlink r:id="rId16" w:anchor="heading=h.2s8eyo1" w:history="1">
        <w:r w:rsidRPr="005439EC">
          <w:rPr>
            <w:rStyle w:val="Hyperlink"/>
            <w:b/>
            <w:bCs/>
          </w:rPr>
          <w:t>8.</w:t>
        </w:r>
        <w:r w:rsidRPr="005439EC">
          <w:rPr>
            <w:rStyle w:val="Hyperlink"/>
            <w:b/>
            <w:bCs/>
          </w:rPr>
          <w:tab/>
          <w:t>Complaints, Grievance and Disputes</w:t>
        </w:r>
        <w:r w:rsidRPr="005439EC">
          <w:rPr>
            <w:rStyle w:val="Hyperlink"/>
            <w:b/>
            <w:bCs/>
          </w:rPr>
          <w:tab/>
          <w:t>5</w:t>
        </w:r>
      </w:hyperlink>
    </w:p>
    <w:p w14:paraId="40094246" w14:textId="77777777" w:rsidR="005439EC" w:rsidRPr="005439EC" w:rsidRDefault="005439EC" w:rsidP="005439EC">
      <w:hyperlink r:id="rId17" w:anchor="heading=h.17dp8vu" w:history="1">
        <w:r w:rsidRPr="005439EC">
          <w:rPr>
            <w:rStyle w:val="Hyperlink"/>
            <w:b/>
            <w:bCs/>
          </w:rPr>
          <w:t>9.</w:t>
        </w:r>
        <w:r w:rsidRPr="005439EC">
          <w:rPr>
            <w:rStyle w:val="Hyperlink"/>
            <w:b/>
            <w:bCs/>
          </w:rPr>
          <w:tab/>
          <w:t>Review</w:t>
        </w:r>
        <w:r w:rsidRPr="005439EC">
          <w:rPr>
            <w:rStyle w:val="Hyperlink"/>
            <w:b/>
            <w:bCs/>
          </w:rPr>
          <w:tab/>
          <w:t>5</w:t>
        </w:r>
      </w:hyperlink>
    </w:p>
    <w:p w14:paraId="3E404DD3" w14:textId="77777777" w:rsidR="005439EC" w:rsidRPr="005439EC" w:rsidRDefault="005439EC" w:rsidP="005439EC"/>
    <w:p w14:paraId="43F65BB0" w14:textId="77777777" w:rsidR="005439EC" w:rsidRPr="005439EC" w:rsidRDefault="005439EC" w:rsidP="005439EC">
      <w:r w:rsidRPr="005439EC">
        <w:br/>
      </w:r>
      <w:r w:rsidRPr="005439EC">
        <w:br/>
      </w:r>
      <w:r w:rsidRPr="005439EC">
        <w:br/>
      </w:r>
      <w:r w:rsidRPr="005439EC">
        <w:br/>
      </w:r>
      <w:r w:rsidRPr="005439EC">
        <w:br/>
      </w:r>
      <w:r w:rsidRPr="005439EC">
        <w:br/>
      </w:r>
      <w:r w:rsidRPr="005439EC">
        <w:br/>
      </w:r>
      <w:r w:rsidRPr="005439EC">
        <w:br/>
      </w:r>
      <w:r w:rsidRPr="005439EC">
        <w:br/>
      </w:r>
      <w:r w:rsidRPr="005439EC">
        <w:br/>
      </w:r>
      <w:r w:rsidRPr="005439EC">
        <w:br/>
      </w:r>
      <w:r w:rsidRPr="005439EC">
        <w:br/>
      </w:r>
      <w:r w:rsidRPr="005439EC">
        <w:br/>
      </w:r>
      <w:r w:rsidRPr="005439EC">
        <w:br/>
      </w:r>
      <w:r w:rsidRPr="005439EC">
        <w:br/>
      </w:r>
      <w:r w:rsidRPr="005439EC">
        <w:br/>
      </w:r>
    </w:p>
    <w:p w14:paraId="5D284614" w14:textId="77777777" w:rsidR="005439EC" w:rsidRPr="005439EC" w:rsidRDefault="005439EC" w:rsidP="005439EC">
      <w:pPr>
        <w:numPr>
          <w:ilvl w:val="0"/>
          <w:numId w:val="1"/>
        </w:numPr>
        <w:rPr>
          <w:b/>
          <w:bCs/>
        </w:rPr>
      </w:pPr>
      <w:r w:rsidRPr="005439EC">
        <w:rPr>
          <w:b/>
          <w:bCs/>
        </w:rPr>
        <w:t>Purpose</w:t>
      </w:r>
    </w:p>
    <w:p w14:paraId="6D15509E" w14:textId="2AB7F5A4" w:rsidR="005439EC" w:rsidRPr="005439EC" w:rsidRDefault="005439EC" w:rsidP="005439EC">
      <w:r w:rsidRPr="005439EC">
        <w:t>This policy addresses the need to ensure that all members of Trent Education Centre Ltd (), which  includes students, faculty, staff and all other stakeholders, are afforded the right to lawfully pursue knowledge in free and open debate without fear of discrimination or reprisals for their views. The Policy seeks to  ensure that a full range of views may be expressed and discussed, including those that may be challenging and controversial, in an environment of tolerance and understanding.  considers freedom of speech to be fundamental to the principle of democracy which together with the is upheld at all times. We also recognise that the rights of others may sometimes need to be considered when balancing another person’s right to freedom of speech. ’s  intention is to always ensure the balance that is found is legally compliant and as unrestrictive as possible.</w:t>
      </w:r>
    </w:p>
    <w:p w14:paraId="65C2B80E" w14:textId="77777777" w:rsidR="005439EC" w:rsidRPr="005439EC" w:rsidRDefault="005439EC" w:rsidP="005439EC">
      <w:r w:rsidRPr="005439EC">
        <w:br/>
      </w:r>
    </w:p>
    <w:p w14:paraId="7A1BD842" w14:textId="77777777" w:rsidR="005439EC" w:rsidRPr="005439EC" w:rsidRDefault="005439EC" w:rsidP="005439EC">
      <w:pPr>
        <w:numPr>
          <w:ilvl w:val="0"/>
          <w:numId w:val="2"/>
        </w:numPr>
        <w:rPr>
          <w:b/>
          <w:bCs/>
        </w:rPr>
      </w:pPr>
      <w:r w:rsidRPr="005439EC">
        <w:rPr>
          <w:b/>
          <w:bCs/>
        </w:rPr>
        <w:t>Scope</w:t>
      </w:r>
    </w:p>
    <w:p w14:paraId="194460C1" w14:textId="29FB0066" w:rsidR="005439EC" w:rsidRPr="005439EC" w:rsidRDefault="005439EC" w:rsidP="005439EC">
      <w:r w:rsidRPr="005439EC">
        <w:t xml:space="preserve">This policy covers the right of free speech within the law for all  stakeholders. It should be read in conjunction with the Academic Freedom Policy.  will work closely with staff, the student body and any external bodies through its committees to ensure that freedom of speech is </w:t>
      </w:r>
      <w:proofErr w:type="spellStart"/>
      <w:r w:rsidRPr="005439EC">
        <w:t>proted</w:t>
      </w:r>
      <w:proofErr w:type="spellEnd"/>
      <w:r w:rsidRPr="005439EC">
        <w:t xml:space="preserve">. In particular, </w:t>
      </w:r>
      <w:r w:rsidRPr="005439EC">
        <w:rPr>
          <w:highlight w:val="yellow"/>
        </w:rPr>
        <w:t xml:space="preserve">the </w:t>
      </w:r>
      <w:r w:rsidRPr="005439EC">
        <w:rPr>
          <w:i/>
          <w:iCs/>
          <w:highlight w:val="yellow"/>
        </w:rPr>
        <w:t>Operations Committee and Marketing &amp; Business Development Committee</w:t>
      </w:r>
      <w:r w:rsidRPr="005439EC">
        <w:rPr>
          <w:i/>
          <w:iCs/>
        </w:rPr>
        <w:t xml:space="preserve"> </w:t>
      </w:r>
      <w:r w:rsidRPr="005439EC">
        <w:t>report on Freedom of Speech in general to the Senior Management Team, which reports to the Board of Governors.</w:t>
      </w:r>
    </w:p>
    <w:p w14:paraId="6F407A7E" w14:textId="77777777" w:rsidR="005439EC" w:rsidRPr="005439EC" w:rsidRDefault="005439EC" w:rsidP="005439EC">
      <w:r w:rsidRPr="005439EC">
        <w:t>The Course Committees and Student Council will report on their ability to debate ideas freely to the Academic Board, which reports on Academic Freedom to the Board of Governors. See the Academic Freedom Policy for more details.</w:t>
      </w:r>
    </w:p>
    <w:p w14:paraId="17A81E53" w14:textId="77777777" w:rsidR="005439EC" w:rsidRPr="005439EC" w:rsidRDefault="005439EC" w:rsidP="005439EC">
      <w:r w:rsidRPr="005439EC">
        <w:lastRenderedPageBreak/>
        <w:br/>
      </w:r>
      <w:r w:rsidRPr="005439EC">
        <w:br/>
      </w:r>
    </w:p>
    <w:p w14:paraId="27A01505" w14:textId="77777777" w:rsidR="005439EC" w:rsidRPr="005439EC" w:rsidRDefault="005439EC" w:rsidP="005439EC">
      <w:pPr>
        <w:numPr>
          <w:ilvl w:val="0"/>
          <w:numId w:val="3"/>
        </w:numPr>
        <w:rPr>
          <w:b/>
          <w:bCs/>
        </w:rPr>
      </w:pPr>
      <w:r w:rsidRPr="005439EC">
        <w:rPr>
          <w:b/>
          <w:bCs/>
        </w:rPr>
        <w:t>External Speakers</w:t>
      </w:r>
    </w:p>
    <w:p w14:paraId="43532381" w14:textId="7A913690" w:rsidR="005439EC" w:rsidRPr="005439EC" w:rsidRDefault="00471F4C" w:rsidP="005439EC">
      <w:r>
        <w:t xml:space="preserve">TEC </w:t>
      </w:r>
      <w:r w:rsidR="005439EC" w:rsidRPr="005439EC">
        <w:t xml:space="preserve">encourages open debate when external speakers  visit </w:t>
      </w:r>
      <w:r>
        <w:t>TEC</w:t>
      </w:r>
      <w:r w:rsidR="005439EC" w:rsidRPr="005439EC">
        <w:t xml:space="preserve"> study centres, </w:t>
      </w:r>
      <w:r>
        <w:t xml:space="preserve">to </w:t>
      </w:r>
      <w:r w:rsidR="005439EC" w:rsidRPr="005439EC">
        <w:t>giv</w:t>
      </w:r>
      <w:r>
        <w:t xml:space="preserve">e </w:t>
      </w:r>
      <w:r w:rsidR="005439EC" w:rsidRPr="005439EC">
        <w:t xml:space="preserve">talks and </w:t>
      </w:r>
      <w:r>
        <w:t xml:space="preserve">to </w:t>
      </w:r>
      <w:r w:rsidR="005439EC" w:rsidRPr="005439EC">
        <w:t>run</w:t>
      </w:r>
      <w:r>
        <w:t xml:space="preserve"> </w:t>
      </w:r>
      <w:r w:rsidR="005439EC" w:rsidRPr="005439EC">
        <w:t xml:space="preserve">workshops on a range of issues.  </w:t>
      </w:r>
      <w:r>
        <w:t xml:space="preserve">TEC </w:t>
      </w:r>
      <w:r w:rsidR="005439EC" w:rsidRPr="005439EC">
        <w:t xml:space="preserve">will impose minimal restrictions on events and activities that students and staff wish to run at the </w:t>
      </w:r>
      <w:r>
        <w:t>TEC</w:t>
      </w:r>
      <w:r w:rsidR="005439EC" w:rsidRPr="005439EC">
        <w:t xml:space="preserve">, including the invitation for guest speakers to appear. The following conditions </w:t>
      </w:r>
      <w:r>
        <w:t xml:space="preserve">are </w:t>
      </w:r>
      <w:r w:rsidR="005439EC" w:rsidRPr="005439EC">
        <w:t>required:</w:t>
      </w:r>
    </w:p>
    <w:p w14:paraId="6785D8AA" w14:textId="6391DAB8" w:rsidR="005439EC" w:rsidRPr="005439EC" w:rsidRDefault="005439EC" w:rsidP="005439EC">
      <w:pPr>
        <w:numPr>
          <w:ilvl w:val="0"/>
          <w:numId w:val="4"/>
        </w:numPr>
      </w:pPr>
      <w:r w:rsidRPr="005439EC">
        <w:t>Any event involving external speakers that stakeholders wish to hold, will be reviewed and approved by the Academic Board, which reports to the B</w:t>
      </w:r>
      <w:r w:rsidR="00471F4C">
        <w:t>oard of Governors</w:t>
      </w:r>
      <w:r w:rsidRPr="005439EC">
        <w:t>.</w:t>
      </w:r>
    </w:p>
    <w:p w14:paraId="14D5D291" w14:textId="42B7956F" w:rsidR="005439EC" w:rsidRPr="005439EC" w:rsidRDefault="005439EC" w:rsidP="005439EC">
      <w:pPr>
        <w:numPr>
          <w:ilvl w:val="0"/>
          <w:numId w:val="4"/>
        </w:numPr>
      </w:pPr>
      <w:r w:rsidRPr="005439EC">
        <w:t xml:space="preserve">All external speakers will be subject to Safeguarding and Prevent checks before being permitted to participate in events or activities at the </w:t>
      </w:r>
      <w:r w:rsidR="00471F4C">
        <w:t>TEC</w:t>
      </w:r>
      <w:r w:rsidRPr="005439EC">
        <w:t>.</w:t>
      </w:r>
    </w:p>
    <w:p w14:paraId="69FBD239" w14:textId="77777777" w:rsidR="005439EC" w:rsidRPr="005439EC" w:rsidRDefault="005439EC" w:rsidP="005439EC">
      <w:r w:rsidRPr="005439EC">
        <w:br/>
      </w:r>
    </w:p>
    <w:p w14:paraId="7CBCD4D5" w14:textId="77777777" w:rsidR="005439EC" w:rsidRPr="005439EC" w:rsidRDefault="005439EC" w:rsidP="005439EC">
      <w:pPr>
        <w:numPr>
          <w:ilvl w:val="0"/>
          <w:numId w:val="5"/>
        </w:numPr>
        <w:rPr>
          <w:b/>
          <w:bCs/>
        </w:rPr>
      </w:pPr>
      <w:r w:rsidRPr="005439EC">
        <w:rPr>
          <w:b/>
          <w:bCs/>
        </w:rPr>
        <w:t>Staff and Student Policies</w:t>
      </w:r>
    </w:p>
    <w:p w14:paraId="733DE071" w14:textId="7AA8C449" w:rsidR="005439EC" w:rsidRPr="005439EC" w:rsidRDefault="005439EC" w:rsidP="005439EC">
      <w:r w:rsidRPr="005439EC">
        <w:t xml:space="preserve">As a general principle, no policy or procedure at the </w:t>
      </w:r>
      <w:r w:rsidR="00471F4C">
        <w:t>TEC</w:t>
      </w:r>
      <w:r w:rsidRPr="005439EC">
        <w:t xml:space="preserve"> which relates to code of conduct will impose restrictions on freedom of speech beyond the limitations imposed upon us through compliance with law, and the need to balance the rights of others, giving due regard to the principles of tolerance and respect.  </w:t>
      </w:r>
      <w:r w:rsidR="00471F4C">
        <w:t xml:space="preserve">TEC </w:t>
      </w:r>
      <w:r w:rsidRPr="005439EC">
        <w:t>will not deny access or participation to anyone on the basis of their ideas and opinions as long as the</w:t>
      </w:r>
      <w:r w:rsidR="00471F4C">
        <w:t>ir ideas or opinions</w:t>
      </w:r>
      <w:r w:rsidRPr="005439EC">
        <w:t xml:space="preserve"> are not unlawfully expressed</w:t>
      </w:r>
      <w:r w:rsidR="00471F4C">
        <w:t xml:space="preserve">. Including ides or opinions on </w:t>
      </w:r>
      <w:r w:rsidRPr="005439EC">
        <w:t>different forms of hate crime (verbal abuse) or incitement to commit acts of violence or extremism.</w:t>
      </w:r>
      <w:r w:rsidRPr="005439EC">
        <w:br/>
      </w:r>
    </w:p>
    <w:p w14:paraId="27D85300" w14:textId="77777777" w:rsidR="005439EC" w:rsidRPr="005439EC" w:rsidRDefault="005439EC" w:rsidP="005439EC">
      <w:pPr>
        <w:numPr>
          <w:ilvl w:val="0"/>
          <w:numId w:val="6"/>
        </w:numPr>
        <w:rPr>
          <w:b/>
          <w:bCs/>
        </w:rPr>
      </w:pPr>
      <w:r w:rsidRPr="005439EC">
        <w:rPr>
          <w:b/>
          <w:bCs/>
        </w:rPr>
        <w:t>Legal Restrictions</w:t>
      </w:r>
    </w:p>
    <w:p w14:paraId="30F4FBE5" w14:textId="0CEBC4EE" w:rsidR="005439EC" w:rsidRPr="005439EC" w:rsidRDefault="005439EC" w:rsidP="005439EC">
      <w:r w:rsidRPr="005439EC">
        <w:t xml:space="preserve">Not all speech is permitted by law. Lawful speech may include comments that </w:t>
      </w:r>
      <w:r w:rsidR="00471F4C">
        <w:t>may be considered</w:t>
      </w:r>
      <w:r w:rsidRPr="005439EC">
        <w:t xml:space="preserve"> hurtful </w:t>
      </w:r>
      <w:r w:rsidR="00471F4C">
        <w:t xml:space="preserve">or </w:t>
      </w:r>
      <w:r w:rsidRPr="005439EC">
        <w:t>offensive to others but does not include speech that qualifies as harassment or discrimination.</w:t>
      </w:r>
    </w:p>
    <w:p w14:paraId="41705250" w14:textId="77777777" w:rsidR="005439EC" w:rsidRPr="005439EC" w:rsidRDefault="005439EC" w:rsidP="005439EC">
      <w:r w:rsidRPr="005439EC">
        <w:br/>
      </w:r>
    </w:p>
    <w:p w14:paraId="0D12A3E7" w14:textId="2FC551BD" w:rsidR="005439EC" w:rsidRPr="00471F4C" w:rsidRDefault="005439EC" w:rsidP="00471F4C">
      <w:pPr>
        <w:pStyle w:val="ListParagraph"/>
        <w:numPr>
          <w:ilvl w:val="1"/>
          <w:numId w:val="15"/>
        </w:numPr>
        <w:rPr>
          <w:b/>
          <w:bCs/>
        </w:rPr>
      </w:pPr>
      <w:r w:rsidRPr="00471F4C">
        <w:rPr>
          <w:b/>
          <w:bCs/>
        </w:rPr>
        <w:t>Discrimination</w:t>
      </w:r>
    </w:p>
    <w:p w14:paraId="1F268A6B" w14:textId="77777777" w:rsidR="005439EC" w:rsidRPr="005439EC" w:rsidRDefault="005439EC" w:rsidP="005439EC"/>
    <w:p w14:paraId="2498F8E0" w14:textId="3BE1F96E" w:rsidR="005439EC" w:rsidRPr="005439EC" w:rsidRDefault="005439EC" w:rsidP="005439EC">
      <w:r w:rsidRPr="005439EC">
        <w:t>The Equality Act 2010 places a requirement on public bodies</w:t>
      </w:r>
      <w:r w:rsidR="00471F4C">
        <w:t>, such as TEC.</w:t>
      </w:r>
      <w:r w:rsidRPr="005439EC">
        <w:t xml:space="preserve">  to prevent discrimination based on the following </w:t>
      </w:r>
      <w:r w:rsidR="00471F4C" w:rsidRPr="005439EC">
        <w:t>protected</w:t>
      </w:r>
      <w:r w:rsidRPr="005439EC">
        <w:t xml:space="preserve"> characteristics:</w:t>
      </w:r>
    </w:p>
    <w:p w14:paraId="1B90603A" w14:textId="77777777" w:rsidR="005439EC" w:rsidRPr="005439EC" w:rsidRDefault="005439EC" w:rsidP="005439EC">
      <w:pPr>
        <w:numPr>
          <w:ilvl w:val="0"/>
          <w:numId w:val="8"/>
        </w:numPr>
      </w:pPr>
      <w:r w:rsidRPr="005439EC">
        <w:t>age</w:t>
      </w:r>
    </w:p>
    <w:p w14:paraId="0CC8430D" w14:textId="77777777" w:rsidR="005439EC" w:rsidRPr="005439EC" w:rsidRDefault="005439EC" w:rsidP="005439EC">
      <w:pPr>
        <w:numPr>
          <w:ilvl w:val="0"/>
          <w:numId w:val="8"/>
        </w:numPr>
      </w:pPr>
      <w:r w:rsidRPr="005439EC">
        <w:t>gender reassignment</w:t>
      </w:r>
    </w:p>
    <w:p w14:paraId="79C1031D" w14:textId="77777777" w:rsidR="005439EC" w:rsidRPr="005439EC" w:rsidRDefault="005439EC" w:rsidP="005439EC">
      <w:pPr>
        <w:numPr>
          <w:ilvl w:val="0"/>
          <w:numId w:val="8"/>
        </w:numPr>
      </w:pPr>
      <w:r w:rsidRPr="005439EC">
        <w:t>being married or in a civil partnership</w:t>
      </w:r>
    </w:p>
    <w:p w14:paraId="38ECF83D" w14:textId="77777777" w:rsidR="00471F4C" w:rsidRDefault="00471F4C" w:rsidP="00471F4C">
      <w:pPr>
        <w:numPr>
          <w:ilvl w:val="0"/>
          <w:numId w:val="8"/>
        </w:numPr>
      </w:pPr>
      <w:r>
        <w:t>being pregnant or on maternity leave</w:t>
      </w:r>
    </w:p>
    <w:p w14:paraId="75FC1CBD" w14:textId="77777777" w:rsidR="00471F4C" w:rsidRDefault="00471F4C" w:rsidP="00471F4C">
      <w:pPr>
        <w:numPr>
          <w:ilvl w:val="0"/>
          <w:numId w:val="8"/>
        </w:numPr>
      </w:pPr>
      <w:r>
        <w:t>disability</w:t>
      </w:r>
    </w:p>
    <w:p w14:paraId="165AA590" w14:textId="77777777" w:rsidR="005439EC" w:rsidRPr="005439EC" w:rsidRDefault="005439EC" w:rsidP="005439EC">
      <w:pPr>
        <w:numPr>
          <w:ilvl w:val="0"/>
          <w:numId w:val="8"/>
        </w:numPr>
      </w:pPr>
      <w:r w:rsidRPr="005439EC">
        <w:t>race including colour, nationality, ethnic or national origin</w:t>
      </w:r>
    </w:p>
    <w:p w14:paraId="2E8E4A3F" w14:textId="77777777" w:rsidR="005439EC" w:rsidRPr="005439EC" w:rsidRDefault="005439EC" w:rsidP="005439EC">
      <w:pPr>
        <w:numPr>
          <w:ilvl w:val="0"/>
          <w:numId w:val="8"/>
        </w:numPr>
      </w:pPr>
      <w:r w:rsidRPr="005439EC">
        <w:t>religion or belief</w:t>
      </w:r>
    </w:p>
    <w:p w14:paraId="1238A601" w14:textId="77777777" w:rsidR="005439EC" w:rsidRPr="005439EC" w:rsidRDefault="005439EC" w:rsidP="005439EC">
      <w:pPr>
        <w:numPr>
          <w:ilvl w:val="0"/>
          <w:numId w:val="8"/>
        </w:numPr>
      </w:pPr>
      <w:r w:rsidRPr="005439EC">
        <w:lastRenderedPageBreak/>
        <w:t>gender</w:t>
      </w:r>
    </w:p>
    <w:p w14:paraId="224526CB" w14:textId="77777777" w:rsidR="005439EC" w:rsidRPr="005439EC" w:rsidRDefault="005439EC" w:rsidP="005439EC">
      <w:pPr>
        <w:numPr>
          <w:ilvl w:val="0"/>
          <w:numId w:val="8"/>
        </w:numPr>
      </w:pPr>
      <w:r w:rsidRPr="005439EC">
        <w:t>sexual orientation</w:t>
      </w:r>
    </w:p>
    <w:p w14:paraId="51EDF696" w14:textId="77777777" w:rsidR="005439EC" w:rsidRPr="005439EC" w:rsidRDefault="005439EC" w:rsidP="005439EC">
      <w:r w:rsidRPr="005439EC">
        <w:br/>
      </w:r>
    </w:p>
    <w:p w14:paraId="3119C537" w14:textId="1FD7D896" w:rsidR="005439EC" w:rsidRPr="00471F4C" w:rsidRDefault="005439EC" w:rsidP="00471F4C">
      <w:pPr>
        <w:pStyle w:val="ListParagraph"/>
        <w:numPr>
          <w:ilvl w:val="1"/>
          <w:numId w:val="15"/>
        </w:numPr>
        <w:rPr>
          <w:b/>
          <w:bCs/>
        </w:rPr>
      </w:pPr>
      <w:r w:rsidRPr="00471F4C">
        <w:rPr>
          <w:b/>
          <w:bCs/>
        </w:rPr>
        <w:t>Prevent Duty</w:t>
      </w:r>
    </w:p>
    <w:p w14:paraId="44AF97F6" w14:textId="77777777" w:rsidR="005439EC" w:rsidRPr="005439EC" w:rsidRDefault="005439EC" w:rsidP="005439EC"/>
    <w:p w14:paraId="1F658F10" w14:textId="06891EB3" w:rsidR="005439EC" w:rsidRPr="005439EC" w:rsidRDefault="005439EC" w:rsidP="005439EC">
      <w:r w:rsidRPr="005439EC">
        <w:t xml:space="preserve">According to the Counter-Terrorism and Security Act 2015, </w:t>
      </w:r>
      <w:r w:rsidR="00471F4C">
        <w:t>Colleges like TEC</w:t>
      </w:r>
      <w:r w:rsidRPr="005439EC">
        <w:t xml:space="preserve">  are required to take all necessary steps to prevent students or staff from being drawn into supporting or participating in terrorism or extremism. The following forms of speech, therefore are illegal and are not permitted:</w:t>
      </w:r>
    </w:p>
    <w:p w14:paraId="162E125C" w14:textId="77777777" w:rsidR="005439EC" w:rsidRPr="005439EC" w:rsidRDefault="005439EC" w:rsidP="005439EC">
      <w:pPr>
        <w:numPr>
          <w:ilvl w:val="0"/>
          <w:numId w:val="10"/>
        </w:numPr>
      </w:pPr>
      <w:r w:rsidRPr="005439EC">
        <w:t>Encouraging any criminal action</w:t>
      </w:r>
    </w:p>
    <w:p w14:paraId="00831A15" w14:textId="77777777" w:rsidR="005439EC" w:rsidRPr="005439EC" w:rsidRDefault="005439EC" w:rsidP="005439EC">
      <w:pPr>
        <w:numPr>
          <w:ilvl w:val="0"/>
          <w:numId w:val="10"/>
        </w:numPr>
      </w:pPr>
      <w:r w:rsidRPr="005439EC">
        <w:t>Encouraging and supporting acts of violence against a group or an individual</w:t>
      </w:r>
    </w:p>
    <w:p w14:paraId="408C561F" w14:textId="77777777" w:rsidR="005439EC" w:rsidRPr="005439EC" w:rsidRDefault="005439EC" w:rsidP="005439EC">
      <w:pPr>
        <w:numPr>
          <w:ilvl w:val="0"/>
          <w:numId w:val="10"/>
        </w:numPr>
      </w:pPr>
      <w:r w:rsidRPr="005439EC">
        <w:t>Encouraging support for and participation in terrorism. This has been defined in the Terrorism Act 2001</w:t>
      </w:r>
      <w:r w:rsidRPr="005439EC">
        <w:br/>
      </w:r>
    </w:p>
    <w:p w14:paraId="62D0A978" w14:textId="77777777" w:rsidR="005439EC" w:rsidRPr="005439EC" w:rsidRDefault="005439EC" w:rsidP="005439EC">
      <w:pPr>
        <w:numPr>
          <w:ilvl w:val="0"/>
          <w:numId w:val="11"/>
        </w:numPr>
        <w:rPr>
          <w:b/>
          <w:bCs/>
        </w:rPr>
      </w:pPr>
      <w:r w:rsidRPr="005439EC">
        <w:rPr>
          <w:b/>
          <w:bCs/>
        </w:rPr>
        <w:t>Borderline Speech</w:t>
      </w:r>
    </w:p>
    <w:p w14:paraId="7A024D76" w14:textId="3135D177" w:rsidR="005439EC" w:rsidRPr="005439EC" w:rsidRDefault="005439EC" w:rsidP="005439EC">
      <w:r w:rsidRPr="005439EC">
        <w:t xml:space="preserve">It is not illegal to cause offence to groups or individuals and this may, therefore, be permitted within reason. It should be noted, however, that there may be occasions when </w:t>
      </w:r>
      <w:r w:rsidR="00471F4C">
        <w:t>TEC</w:t>
      </w:r>
      <w:r w:rsidRPr="005439EC">
        <w:t xml:space="preserve"> will need to balance the rights of some against the rights of people exercising freedom of speech. It may not always be easy to strike the right balance, and ensure that </w:t>
      </w:r>
      <w:r w:rsidR="00471F4C">
        <w:t>TEC</w:t>
      </w:r>
      <w:r w:rsidRPr="005439EC">
        <w:t xml:space="preserve"> community embraces a culture of mutual respect and tolerance. The Senior Management Team, responsible for deciding what is permitted, will limit restrictions to speech as </w:t>
      </w:r>
      <w:r w:rsidR="00471F4C">
        <w:t>far</w:t>
      </w:r>
      <w:r w:rsidRPr="005439EC">
        <w:t xml:space="preserve"> as possible, whilst attempting to mitigate any harm this may cause to others, and prot</w:t>
      </w:r>
      <w:r w:rsidR="00471F4C">
        <w:t>ect</w:t>
      </w:r>
      <w:r w:rsidRPr="005439EC">
        <w:t xml:space="preserve"> the culture of respect and tolerance.</w:t>
      </w:r>
    </w:p>
    <w:p w14:paraId="4562A526" w14:textId="77777777" w:rsidR="005439EC" w:rsidRPr="005439EC" w:rsidRDefault="005439EC" w:rsidP="005439EC">
      <w:r w:rsidRPr="005439EC">
        <w:br/>
      </w:r>
    </w:p>
    <w:p w14:paraId="74667140" w14:textId="77777777" w:rsidR="005439EC" w:rsidRPr="005439EC" w:rsidRDefault="005439EC" w:rsidP="005439EC">
      <w:pPr>
        <w:numPr>
          <w:ilvl w:val="0"/>
          <w:numId w:val="12"/>
        </w:numPr>
        <w:rPr>
          <w:b/>
          <w:bCs/>
        </w:rPr>
      </w:pPr>
      <w:r w:rsidRPr="005439EC">
        <w:rPr>
          <w:b/>
          <w:bCs/>
        </w:rPr>
        <w:t>Support</w:t>
      </w:r>
    </w:p>
    <w:p w14:paraId="1913AB46" w14:textId="755543B6" w:rsidR="005439EC" w:rsidRPr="005439EC" w:rsidRDefault="00471F4C" w:rsidP="005439EC">
      <w:r>
        <w:t xml:space="preserve">TEC </w:t>
      </w:r>
      <w:r w:rsidR="005439EC" w:rsidRPr="005439EC">
        <w:t xml:space="preserve"> will </w:t>
      </w:r>
      <w:r w:rsidRPr="005439EC">
        <w:t>endeavour</w:t>
      </w:r>
      <w:r w:rsidR="005439EC" w:rsidRPr="005439EC">
        <w:t xml:space="preserve"> to provide support for any stakeholder who may have been impacted negatively by the free expression of ideas or opinions.</w:t>
      </w:r>
    </w:p>
    <w:p w14:paraId="229E5C32" w14:textId="77777777" w:rsidR="005439EC" w:rsidRPr="005439EC" w:rsidRDefault="005439EC" w:rsidP="005439EC">
      <w:r w:rsidRPr="005439EC">
        <w:br/>
      </w:r>
    </w:p>
    <w:p w14:paraId="3043B3BF" w14:textId="77777777" w:rsidR="005439EC" w:rsidRPr="005439EC" w:rsidRDefault="005439EC" w:rsidP="005439EC">
      <w:pPr>
        <w:numPr>
          <w:ilvl w:val="0"/>
          <w:numId w:val="13"/>
        </w:numPr>
        <w:rPr>
          <w:b/>
          <w:bCs/>
        </w:rPr>
      </w:pPr>
      <w:r w:rsidRPr="005439EC">
        <w:rPr>
          <w:b/>
          <w:bCs/>
        </w:rPr>
        <w:t>Complaints, Grievance and Disputes</w:t>
      </w:r>
    </w:p>
    <w:p w14:paraId="3053681A" w14:textId="33056218" w:rsidR="005439EC" w:rsidRPr="005439EC" w:rsidRDefault="005439EC" w:rsidP="005439EC">
      <w:r w:rsidRPr="005439EC">
        <w:t xml:space="preserve">Anyone wishing to complain about the speech of others at </w:t>
      </w:r>
      <w:r w:rsidR="00471F4C">
        <w:t>TEC</w:t>
      </w:r>
      <w:r w:rsidRPr="005439EC">
        <w:t xml:space="preserve">, may do so using the </w:t>
      </w:r>
      <w:r w:rsidR="00471F4C">
        <w:t>TEC</w:t>
      </w:r>
      <w:r w:rsidRPr="005439EC">
        <w:t xml:space="preserve"> complaints procedures set out in the Complaints Policy. </w:t>
      </w:r>
      <w:r w:rsidR="00471F4C">
        <w:t xml:space="preserve">The Senior Management Team </w:t>
      </w:r>
      <w:r w:rsidRPr="005439EC">
        <w:t xml:space="preserve"> will form a panel </w:t>
      </w:r>
      <w:r w:rsidR="00471F4C">
        <w:t xml:space="preserve">with the </w:t>
      </w:r>
      <w:r w:rsidRPr="005439EC">
        <w:t xml:space="preserve"> power to make final decisions whenever there is a complaint, grievance or dispute concerning the right of stakeholders to freedom of speech when participating in </w:t>
      </w:r>
      <w:r w:rsidR="00471F4C">
        <w:t>TEC</w:t>
      </w:r>
      <w:r w:rsidRPr="005439EC">
        <w:t xml:space="preserve"> activities.</w:t>
      </w:r>
    </w:p>
    <w:p w14:paraId="0ACD6C63" w14:textId="77777777" w:rsidR="005439EC" w:rsidRPr="005439EC" w:rsidRDefault="005439EC" w:rsidP="005439EC">
      <w:r w:rsidRPr="005439EC">
        <w:br/>
      </w:r>
      <w:r w:rsidRPr="005439EC">
        <w:br/>
      </w:r>
    </w:p>
    <w:p w14:paraId="05C3DBA0" w14:textId="77777777" w:rsidR="005439EC" w:rsidRPr="005439EC" w:rsidRDefault="005439EC" w:rsidP="005439EC">
      <w:pPr>
        <w:numPr>
          <w:ilvl w:val="0"/>
          <w:numId w:val="14"/>
        </w:numPr>
        <w:rPr>
          <w:b/>
          <w:bCs/>
        </w:rPr>
      </w:pPr>
      <w:r w:rsidRPr="005439EC">
        <w:rPr>
          <w:b/>
          <w:bCs/>
        </w:rPr>
        <w:t>Review</w:t>
      </w:r>
    </w:p>
    <w:p w14:paraId="45CD2B71" w14:textId="146B39C7" w:rsidR="005439EC" w:rsidRPr="005439EC" w:rsidRDefault="005439EC" w:rsidP="005439EC">
      <w:r w:rsidRPr="005439EC">
        <w:lastRenderedPageBreak/>
        <w:t>In accordance with the Office for Students’ condition of registration, the  Board of Governor</w:t>
      </w:r>
      <w:r w:rsidR="00471F4C">
        <w:t xml:space="preserve"> (</w:t>
      </w:r>
      <w:proofErr w:type="spellStart"/>
      <w:r w:rsidR="00471F4C">
        <w:t>BoG</w:t>
      </w:r>
      <w:proofErr w:type="spellEnd"/>
      <w:r w:rsidR="00471F4C">
        <w:t>)</w:t>
      </w:r>
      <w:r w:rsidRPr="005439EC">
        <w:t xml:space="preserve"> is responsible taking such steps as are reasonably practicable to ensure that freedom of speech within the law is secured within </w:t>
      </w:r>
      <w:r w:rsidR="00471F4C">
        <w:t>TEC</w:t>
      </w:r>
      <w:r w:rsidRPr="005439EC">
        <w:t xml:space="preserve">. </w:t>
      </w:r>
      <w:bookmarkStart w:id="0" w:name="_Hlk189415175"/>
      <w:r w:rsidRPr="005439EC">
        <w:t xml:space="preserve">The </w:t>
      </w:r>
      <w:proofErr w:type="spellStart"/>
      <w:r w:rsidRPr="005439EC">
        <w:t>BoG</w:t>
      </w:r>
      <w:proofErr w:type="spellEnd"/>
      <w:r w:rsidRPr="005439EC">
        <w:t xml:space="preserve"> has delegated powers to the Audit &amp; Risk Committee to receive reports on freedom of speech at </w:t>
      </w:r>
      <w:r w:rsidR="00471F4C">
        <w:t>TEC</w:t>
      </w:r>
      <w:r w:rsidRPr="005439EC">
        <w:t xml:space="preserve"> from the Senior Management Team for a minimum of three times per annum when SMT meets. This policy will be reviewed by </w:t>
      </w:r>
      <w:r w:rsidR="00471F4C">
        <w:t xml:space="preserve">the </w:t>
      </w:r>
      <w:proofErr w:type="spellStart"/>
      <w:r w:rsidRPr="005439EC">
        <w:t>BoG</w:t>
      </w:r>
      <w:proofErr w:type="spellEnd"/>
      <w:r w:rsidRPr="005439EC">
        <w:t xml:space="preserve"> a minimum of once every year.</w:t>
      </w:r>
    </w:p>
    <w:bookmarkEnd w:id="0"/>
    <w:p w14:paraId="5987C2C2" w14:textId="77777777" w:rsidR="00F03A0B" w:rsidRPr="005439EC" w:rsidRDefault="00F03A0B" w:rsidP="005439EC"/>
    <w:sectPr w:rsidR="00F03A0B" w:rsidRPr="005439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1207"/>
    <w:multiLevelType w:val="multilevel"/>
    <w:tmpl w:val="998E523A"/>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82CDA"/>
    <w:multiLevelType w:val="multilevel"/>
    <w:tmpl w:val="CCB6E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17CA2"/>
    <w:multiLevelType w:val="multilevel"/>
    <w:tmpl w:val="56AC99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7E2094"/>
    <w:multiLevelType w:val="multilevel"/>
    <w:tmpl w:val="0F16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22BB4"/>
    <w:multiLevelType w:val="multilevel"/>
    <w:tmpl w:val="A26A29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5C3160"/>
    <w:multiLevelType w:val="multilevel"/>
    <w:tmpl w:val="F92A82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511366"/>
    <w:multiLevelType w:val="multilevel"/>
    <w:tmpl w:val="DA020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0A14C4"/>
    <w:multiLevelType w:val="multilevel"/>
    <w:tmpl w:val="CBAE84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120981"/>
    <w:multiLevelType w:val="multilevel"/>
    <w:tmpl w:val="AAAC30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A76AF7"/>
    <w:multiLevelType w:val="multilevel"/>
    <w:tmpl w:val="82F6A80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52320061"/>
    <w:multiLevelType w:val="multilevel"/>
    <w:tmpl w:val="79BED2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1D565A"/>
    <w:multiLevelType w:val="multilevel"/>
    <w:tmpl w:val="0D4C74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883F85"/>
    <w:multiLevelType w:val="multilevel"/>
    <w:tmpl w:val="0444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AF1008"/>
    <w:multiLevelType w:val="multilevel"/>
    <w:tmpl w:val="82323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8B295B"/>
    <w:multiLevelType w:val="multilevel"/>
    <w:tmpl w:val="A9B8A6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0582492">
    <w:abstractNumId w:val="13"/>
  </w:num>
  <w:num w:numId="2" w16cid:durableId="2015181702">
    <w:abstractNumId w:val="6"/>
    <w:lvlOverride w:ilvl="0">
      <w:lvl w:ilvl="0">
        <w:numFmt w:val="decimal"/>
        <w:lvlText w:val="%1."/>
        <w:lvlJc w:val="left"/>
      </w:lvl>
    </w:lvlOverride>
  </w:num>
  <w:num w:numId="3" w16cid:durableId="840775161">
    <w:abstractNumId w:val="4"/>
    <w:lvlOverride w:ilvl="0">
      <w:lvl w:ilvl="0">
        <w:numFmt w:val="decimal"/>
        <w:lvlText w:val="%1."/>
        <w:lvlJc w:val="left"/>
      </w:lvl>
    </w:lvlOverride>
  </w:num>
  <w:num w:numId="4" w16cid:durableId="1802572032">
    <w:abstractNumId w:val="0"/>
  </w:num>
  <w:num w:numId="5" w16cid:durableId="1395545758">
    <w:abstractNumId w:val="10"/>
    <w:lvlOverride w:ilvl="0">
      <w:lvl w:ilvl="0">
        <w:numFmt w:val="decimal"/>
        <w:lvlText w:val="%1."/>
        <w:lvlJc w:val="left"/>
      </w:lvl>
    </w:lvlOverride>
  </w:num>
  <w:num w:numId="6" w16cid:durableId="433482819">
    <w:abstractNumId w:val="7"/>
    <w:lvlOverride w:ilvl="0">
      <w:lvl w:ilvl="0">
        <w:numFmt w:val="decimal"/>
        <w:lvlText w:val="%1."/>
        <w:lvlJc w:val="left"/>
      </w:lvl>
    </w:lvlOverride>
  </w:num>
  <w:num w:numId="7" w16cid:durableId="1713575463">
    <w:abstractNumId w:val="1"/>
  </w:num>
  <w:num w:numId="8" w16cid:durableId="38477827">
    <w:abstractNumId w:val="3"/>
  </w:num>
  <w:num w:numId="9" w16cid:durableId="1735658927">
    <w:abstractNumId w:val="8"/>
    <w:lvlOverride w:ilvl="0">
      <w:lvl w:ilvl="0">
        <w:numFmt w:val="decimal"/>
        <w:lvlText w:val="%1."/>
        <w:lvlJc w:val="left"/>
      </w:lvl>
    </w:lvlOverride>
  </w:num>
  <w:num w:numId="10" w16cid:durableId="1056008561">
    <w:abstractNumId w:val="12"/>
  </w:num>
  <w:num w:numId="11" w16cid:durableId="665210226">
    <w:abstractNumId w:val="14"/>
    <w:lvlOverride w:ilvl="0">
      <w:lvl w:ilvl="0">
        <w:numFmt w:val="decimal"/>
        <w:lvlText w:val="%1."/>
        <w:lvlJc w:val="left"/>
      </w:lvl>
    </w:lvlOverride>
  </w:num>
  <w:num w:numId="12" w16cid:durableId="1353874542">
    <w:abstractNumId w:val="5"/>
    <w:lvlOverride w:ilvl="0">
      <w:lvl w:ilvl="0">
        <w:numFmt w:val="decimal"/>
        <w:lvlText w:val="%1."/>
        <w:lvlJc w:val="left"/>
      </w:lvl>
    </w:lvlOverride>
  </w:num>
  <w:num w:numId="13" w16cid:durableId="2074352389">
    <w:abstractNumId w:val="11"/>
    <w:lvlOverride w:ilvl="0">
      <w:lvl w:ilvl="0">
        <w:numFmt w:val="decimal"/>
        <w:lvlText w:val="%1."/>
        <w:lvlJc w:val="left"/>
      </w:lvl>
    </w:lvlOverride>
  </w:num>
  <w:num w:numId="14" w16cid:durableId="613908389">
    <w:abstractNumId w:val="2"/>
    <w:lvlOverride w:ilvl="0">
      <w:lvl w:ilvl="0">
        <w:numFmt w:val="decimal"/>
        <w:lvlText w:val="%1."/>
        <w:lvlJc w:val="left"/>
      </w:lvl>
    </w:lvlOverride>
  </w:num>
  <w:num w:numId="15" w16cid:durableId="20621714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EC"/>
    <w:rsid w:val="001E3C55"/>
    <w:rsid w:val="00471F4C"/>
    <w:rsid w:val="005439EC"/>
    <w:rsid w:val="00AA3C47"/>
    <w:rsid w:val="00C72B72"/>
    <w:rsid w:val="00F03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57423"/>
  <w15:chartTrackingRefBased/>
  <w15:docId w15:val="{9B625C51-FFF3-4641-A50D-FDB83CDB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9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39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39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39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39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39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9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9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9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9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39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39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39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9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9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9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9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9EC"/>
    <w:rPr>
      <w:rFonts w:eastAsiaTheme="majorEastAsia" w:cstheme="majorBidi"/>
      <w:color w:val="272727" w:themeColor="text1" w:themeTint="D8"/>
    </w:rPr>
  </w:style>
  <w:style w:type="paragraph" w:styleId="Title">
    <w:name w:val="Title"/>
    <w:basedOn w:val="Normal"/>
    <w:next w:val="Normal"/>
    <w:link w:val="TitleChar"/>
    <w:uiPriority w:val="10"/>
    <w:qFormat/>
    <w:rsid w:val="005439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9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9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9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9EC"/>
    <w:pPr>
      <w:spacing w:before="160"/>
      <w:jc w:val="center"/>
    </w:pPr>
    <w:rPr>
      <w:i/>
      <w:iCs/>
      <w:color w:val="404040" w:themeColor="text1" w:themeTint="BF"/>
    </w:rPr>
  </w:style>
  <w:style w:type="character" w:customStyle="1" w:styleId="QuoteChar">
    <w:name w:val="Quote Char"/>
    <w:basedOn w:val="DefaultParagraphFont"/>
    <w:link w:val="Quote"/>
    <w:uiPriority w:val="29"/>
    <w:rsid w:val="005439EC"/>
    <w:rPr>
      <w:i/>
      <w:iCs/>
      <w:color w:val="404040" w:themeColor="text1" w:themeTint="BF"/>
    </w:rPr>
  </w:style>
  <w:style w:type="paragraph" w:styleId="ListParagraph">
    <w:name w:val="List Paragraph"/>
    <w:basedOn w:val="Normal"/>
    <w:uiPriority w:val="34"/>
    <w:qFormat/>
    <w:rsid w:val="005439EC"/>
    <w:pPr>
      <w:ind w:left="720"/>
      <w:contextualSpacing/>
    </w:pPr>
  </w:style>
  <w:style w:type="character" w:styleId="IntenseEmphasis">
    <w:name w:val="Intense Emphasis"/>
    <w:basedOn w:val="DefaultParagraphFont"/>
    <w:uiPriority w:val="21"/>
    <w:qFormat/>
    <w:rsid w:val="005439EC"/>
    <w:rPr>
      <w:i/>
      <w:iCs/>
      <w:color w:val="0F4761" w:themeColor="accent1" w:themeShade="BF"/>
    </w:rPr>
  </w:style>
  <w:style w:type="paragraph" w:styleId="IntenseQuote">
    <w:name w:val="Intense Quote"/>
    <w:basedOn w:val="Normal"/>
    <w:next w:val="Normal"/>
    <w:link w:val="IntenseQuoteChar"/>
    <w:uiPriority w:val="30"/>
    <w:qFormat/>
    <w:rsid w:val="005439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9EC"/>
    <w:rPr>
      <w:i/>
      <w:iCs/>
      <w:color w:val="0F4761" w:themeColor="accent1" w:themeShade="BF"/>
    </w:rPr>
  </w:style>
  <w:style w:type="character" w:styleId="IntenseReference">
    <w:name w:val="Intense Reference"/>
    <w:basedOn w:val="DefaultParagraphFont"/>
    <w:uiPriority w:val="32"/>
    <w:qFormat/>
    <w:rsid w:val="005439EC"/>
    <w:rPr>
      <w:b/>
      <w:bCs/>
      <w:smallCaps/>
      <w:color w:val="0F4761" w:themeColor="accent1" w:themeShade="BF"/>
      <w:spacing w:val="5"/>
    </w:rPr>
  </w:style>
  <w:style w:type="character" w:styleId="Hyperlink">
    <w:name w:val="Hyperlink"/>
    <w:basedOn w:val="DefaultParagraphFont"/>
    <w:uiPriority w:val="99"/>
    <w:unhideWhenUsed/>
    <w:rsid w:val="005439EC"/>
    <w:rPr>
      <w:color w:val="467886" w:themeColor="hyperlink"/>
      <w:u w:val="single"/>
    </w:rPr>
  </w:style>
  <w:style w:type="character" w:styleId="UnresolvedMention">
    <w:name w:val="Unresolved Mention"/>
    <w:basedOn w:val="DefaultParagraphFont"/>
    <w:uiPriority w:val="99"/>
    <w:semiHidden/>
    <w:unhideWhenUsed/>
    <w:rsid w:val="00543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228300">
      <w:bodyDiv w:val="1"/>
      <w:marLeft w:val="0"/>
      <w:marRight w:val="0"/>
      <w:marTop w:val="0"/>
      <w:marBottom w:val="0"/>
      <w:divBdr>
        <w:top w:val="none" w:sz="0" w:space="0" w:color="auto"/>
        <w:left w:val="none" w:sz="0" w:space="0" w:color="auto"/>
        <w:bottom w:val="none" w:sz="0" w:space="0" w:color="auto"/>
        <w:right w:val="none" w:sz="0" w:space="0" w:color="auto"/>
      </w:divBdr>
      <w:divsChild>
        <w:div w:id="238291725">
          <w:marLeft w:val="117"/>
          <w:marRight w:val="0"/>
          <w:marTop w:val="0"/>
          <w:marBottom w:val="0"/>
          <w:divBdr>
            <w:top w:val="none" w:sz="0" w:space="0" w:color="auto"/>
            <w:left w:val="none" w:sz="0" w:space="0" w:color="auto"/>
            <w:bottom w:val="none" w:sz="0" w:space="0" w:color="auto"/>
            <w:right w:val="none" w:sz="0" w:space="0" w:color="auto"/>
          </w:divBdr>
        </w:div>
      </w:divsChild>
    </w:div>
    <w:div w:id="1753308212">
      <w:bodyDiv w:val="1"/>
      <w:marLeft w:val="0"/>
      <w:marRight w:val="0"/>
      <w:marTop w:val="0"/>
      <w:marBottom w:val="0"/>
      <w:divBdr>
        <w:top w:val="none" w:sz="0" w:space="0" w:color="auto"/>
        <w:left w:val="none" w:sz="0" w:space="0" w:color="auto"/>
        <w:bottom w:val="none" w:sz="0" w:space="0" w:color="auto"/>
        <w:right w:val="none" w:sz="0" w:space="0" w:color="auto"/>
      </w:divBdr>
      <w:divsChild>
        <w:div w:id="1399160764">
          <w:marLeft w:val="11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tZcP7QTwYihcVKkhscxnGmIyU624OYQR/edit" TargetMode="External"/><Relationship Id="rId13" Type="http://schemas.openxmlformats.org/officeDocument/2006/relationships/hyperlink" Target="https://docs.google.com/document/d/1tZcP7QTwYihcVKkhscxnGmIyU624OYQR/ed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tZcP7QTwYihcVKkhscxnGmIyU624OYQR/edit" TargetMode="External"/><Relationship Id="rId12" Type="http://schemas.openxmlformats.org/officeDocument/2006/relationships/hyperlink" Target="https://docs.google.com/document/d/1tZcP7QTwYihcVKkhscxnGmIyU624OYQR/edit" TargetMode="External"/><Relationship Id="rId17" Type="http://schemas.openxmlformats.org/officeDocument/2006/relationships/hyperlink" Target="https://docs.google.com/document/d/1tZcP7QTwYihcVKkhscxnGmIyU624OYQR/edit" TargetMode="External"/><Relationship Id="rId2" Type="http://schemas.openxmlformats.org/officeDocument/2006/relationships/styles" Target="styles.xml"/><Relationship Id="rId16" Type="http://schemas.openxmlformats.org/officeDocument/2006/relationships/hyperlink" Target="https://docs.google.com/document/d/1tZcP7QTwYihcVKkhscxnGmIyU624OYQR/edi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cs.google.com/document/d/1tZcP7QTwYihcVKkhscxnGmIyU624OYQR/edit" TargetMode="External"/><Relationship Id="rId5" Type="http://schemas.openxmlformats.org/officeDocument/2006/relationships/image" Target="media/image1.png"/><Relationship Id="rId15" Type="http://schemas.openxmlformats.org/officeDocument/2006/relationships/hyperlink" Target="https://docs.google.com/document/d/1tZcP7QTwYihcVKkhscxnGmIyU624OYQR/edit" TargetMode="External"/><Relationship Id="rId10" Type="http://schemas.openxmlformats.org/officeDocument/2006/relationships/hyperlink" Target="https://docs.google.com/document/d/1tZcP7QTwYihcVKkhscxnGmIyU624OYQR/ed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google.com/document/d/1tZcP7QTwYihcVKkhscxnGmIyU624OYQR/edit" TargetMode="External"/><Relationship Id="rId14" Type="http://schemas.openxmlformats.org/officeDocument/2006/relationships/hyperlink" Target="https://docs.google.com/document/d/1tZcP7QTwYihcVKkhscxnGmIyU624OYQR/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1136</Words>
  <Characters>6477</Characters>
  <Application>Microsoft Office Word</Application>
  <DocSecurity>0</DocSecurity>
  <Lines>53</Lines>
  <Paragraphs>15</Paragraphs>
  <ScaleCrop>false</ScaleCrop>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Whitehouse</dc:creator>
  <cp:keywords/>
  <dc:description/>
  <cp:lastModifiedBy>Tony Whitehouse</cp:lastModifiedBy>
  <cp:revision>2</cp:revision>
  <dcterms:created xsi:type="dcterms:W3CDTF">2025-02-02T19:02:00Z</dcterms:created>
  <dcterms:modified xsi:type="dcterms:W3CDTF">2025-02-02T19:02:00Z</dcterms:modified>
</cp:coreProperties>
</file>